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7A" w:rsidRPr="00EA0069" w:rsidRDefault="00EA0069" w:rsidP="00EA0069">
      <w:pPr>
        <w:jc w:val="center"/>
        <w:rPr>
          <w:b/>
          <w:sz w:val="36"/>
        </w:rPr>
      </w:pPr>
      <w:bookmarkStart w:id="0" w:name="_GoBack"/>
      <w:r w:rsidRPr="00EA0069">
        <w:rPr>
          <w:b/>
          <w:sz w:val="36"/>
        </w:rPr>
        <w:t>Annotated Bibliography – Integrating Teaching and Research</w:t>
      </w:r>
      <w:bookmarkEnd w:id="0"/>
    </w:p>
    <w:p w:rsidR="00EA0069" w:rsidRPr="00EA0069" w:rsidRDefault="00EA0069" w:rsidP="00EA0069">
      <w:pPr>
        <w:jc w:val="center"/>
        <w:rPr>
          <w:b/>
          <w:sz w:val="36"/>
        </w:rPr>
      </w:pPr>
      <w:r w:rsidRPr="00EA0069">
        <w:rPr>
          <w:b/>
          <w:sz w:val="36"/>
        </w:rPr>
        <w:t>Faculty Learning Community, 2015-2016</w:t>
      </w:r>
    </w:p>
    <w:p w:rsidR="00EA0069" w:rsidRPr="00EA0069" w:rsidRDefault="00EA0069"/>
    <w:p w:rsidR="00EA0069" w:rsidRPr="00EA0069" w:rsidRDefault="00EA0069"/>
    <w:p w:rsidR="00EA0069" w:rsidRPr="00EA0069" w:rsidRDefault="00EA0069">
      <w:pPr>
        <w:rPr>
          <w:color w:val="333333"/>
          <w:sz w:val="32"/>
          <w:shd w:val="clear" w:color="auto" w:fill="FFFFFF"/>
        </w:rPr>
      </w:pPr>
      <w:r w:rsidRPr="00EA0069">
        <w:rPr>
          <w:color w:val="333333"/>
          <w:sz w:val="32"/>
          <w:shd w:val="clear" w:color="auto" w:fill="FFFFFF"/>
        </w:rPr>
        <w:t>Merging in a Seamless Blend: How Faculty Integrate Teaching and Research</w:t>
      </w:r>
    </w:p>
    <w:p w:rsidR="00EA0069" w:rsidRPr="00EA0069" w:rsidRDefault="00EA0069" w:rsidP="00EA0069">
      <w:pPr>
        <w:shd w:val="clear" w:color="auto" w:fill="FFFFFF"/>
        <w:spacing w:after="0" w:line="240" w:lineRule="atLeast"/>
        <w:rPr>
          <w:rFonts w:eastAsia="Times New Roman" w:cs="Arial"/>
          <w:color w:val="222222"/>
        </w:rPr>
      </w:pPr>
      <w:r w:rsidRPr="00EA0069">
        <w:rPr>
          <w:rFonts w:eastAsia="Times New Roman" w:cs="Arial"/>
          <w:color w:val="222222"/>
        </w:rPr>
        <w:t xml:space="preserve">Carol L. </w:t>
      </w:r>
      <w:proofErr w:type="spellStart"/>
      <w:r w:rsidRPr="00EA0069">
        <w:rPr>
          <w:rFonts w:eastAsia="Times New Roman" w:cs="Arial"/>
          <w:color w:val="222222"/>
        </w:rPr>
        <w:t>Colbeck</w:t>
      </w:r>
      <w:proofErr w:type="spellEnd"/>
    </w:p>
    <w:p w:rsidR="00EA0069" w:rsidRPr="00EA0069" w:rsidRDefault="00EA0069" w:rsidP="00EA0069">
      <w:pPr>
        <w:shd w:val="clear" w:color="auto" w:fill="FFFFFF"/>
        <w:spacing w:after="0" w:line="240" w:lineRule="atLeast"/>
        <w:rPr>
          <w:rFonts w:eastAsia="Times New Roman" w:cs="Arial"/>
          <w:color w:val="222222"/>
        </w:rPr>
      </w:pPr>
      <w:r w:rsidRPr="00EA0069">
        <w:rPr>
          <w:rFonts w:eastAsia="Times New Roman" w:cs="Arial"/>
          <w:i/>
          <w:iCs/>
          <w:color w:val="222222"/>
        </w:rPr>
        <w:t>The Journal of Higher Education</w:t>
      </w:r>
    </w:p>
    <w:p w:rsidR="00EA0069" w:rsidRPr="00FC502B" w:rsidRDefault="00EA0069" w:rsidP="00EA0069">
      <w:pPr>
        <w:shd w:val="clear" w:color="auto" w:fill="FFFFFF"/>
        <w:spacing w:after="0" w:line="240" w:lineRule="atLeast"/>
        <w:rPr>
          <w:rFonts w:eastAsia="Times New Roman" w:cs="Arial"/>
          <w:color w:val="222222"/>
          <w:lang w:val="es-CO"/>
        </w:rPr>
      </w:pPr>
      <w:r w:rsidRPr="00FC502B">
        <w:rPr>
          <w:rFonts w:eastAsia="Times New Roman" w:cs="Arial"/>
          <w:color w:val="222222"/>
          <w:lang w:val="es-CO"/>
        </w:rPr>
        <w:t>Vol. 69, No. 6 (Nov. - Dec., 1998), pp. 647-671</w:t>
      </w:r>
    </w:p>
    <w:p w:rsidR="00EA0069" w:rsidRPr="00FC502B" w:rsidRDefault="00EA0069">
      <w:pPr>
        <w:rPr>
          <w:lang w:val="es-CO"/>
        </w:rPr>
      </w:pPr>
    </w:p>
    <w:p w:rsidR="00EA0069" w:rsidRPr="00EA0069" w:rsidRDefault="00EA0069">
      <w:pPr>
        <w:rPr>
          <w:color w:val="000000"/>
          <w:shd w:val="clear" w:color="auto" w:fill="FFFFFF"/>
        </w:rPr>
      </w:pPr>
      <w:r w:rsidRPr="00EA0069">
        <w:rPr>
          <w:b/>
        </w:rPr>
        <w:t>Thesis:</w:t>
      </w:r>
      <w:r w:rsidRPr="00EA0069">
        <w:t xml:space="preserve"> </w:t>
      </w:r>
      <w:r w:rsidRPr="00EA0069">
        <w:rPr>
          <w:color w:val="000000"/>
          <w:shd w:val="clear" w:color="auto" w:fill="FFFFFF"/>
        </w:rPr>
        <w:t>Faculty who integrate their teaching and research will save time compared to those whose research and teaching are fragmented.</w:t>
      </w:r>
    </w:p>
    <w:p w:rsidR="00EA0069" w:rsidRPr="00EA0069" w:rsidRDefault="00EA0069">
      <w:pPr>
        <w:rPr>
          <w:color w:val="000000"/>
          <w:shd w:val="clear" w:color="auto" w:fill="FFFFFF"/>
        </w:rPr>
      </w:pPr>
      <w:r w:rsidRPr="00EA0069">
        <w:rPr>
          <w:b/>
          <w:color w:val="000000"/>
          <w:shd w:val="clear" w:color="auto" w:fill="FFFFFF"/>
        </w:rPr>
        <w:t>Approach/method:</w:t>
      </w:r>
      <w:r w:rsidRPr="00EA0069">
        <w:rPr>
          <w:color w:val="000000"/>
          <w:shd w:val="clear" w:color="auto" w:fill="FFFFFF"/>
        </w:rPr>
        <w:t xml:space="preserve"> </w:t>
      </w:r>
      <w:r w:rsidRPr="00EA0069">
        <w:rPr>
          <w:rFonts w:cs="Arial"/>
          <w:color w:val="000000"/>
          <w:shd w:val="clear" w:color="auto" w:fill="FFFFFF"/>
        </w:rPr>
        <w:t>Direct observation of faculty activities, and also interviews with administrators and faculty. Observed faculty in physics and English at a research-oriented university and also at a more teaching-focused one.</w:t>
      </w:r>
    </w:p>
    <w:p w:rsidR="00EA0069" w:rsidRPr="00EA0069" w:rsidRDefault="00EA0069">
      <w:pPr>
        <w:rPr>
          <w:b/>
        </w:rPr>
      </w:pPr>
      <w:r w:rsidRPr="00EA0069">
        <w:rPr>
          <w:b/>
        </w:rPr>
        <w:t>Findings/take away points</w:t>
      </w:r>
    </w:p>
    <w:p w:rsidR="00EA0069" w:rsidRPr="00EA0069" w:rsidRDefault="00EA0069" w:rsidP="00EA0069">
      <w:pPr>
        <w:pStyle w:val="ListParagraph"/>
        <w:numPr>
          <w:ilvl w:val="0"/>
          <w:numId w:val="1"/>
        </w:numPr>
      </w:pPr>
      <w:r w:rsidRPr="00EA0069">
        <w:rPr>
          <w:rFonts w:cs="Arial"/>
          <w:color w:val="000000"/>
          <w:shd w:val="clear" w:color="auto" w:fill="FFFFFF"/>
        </w:rPr>
        <w:t>Faculty in low paradigm consensus fields (e.g. English) integrate research and teaching more effectively than those in high paradigm consensus fields (e.g. physics).</w:t>
      </w:r>
    </w:p>
    <w:p w:rsidR="00EA0069" w:rsidRPr="00EA0069" w:rsidRDefault="00EA0069" w:rsidP="00EA0069">
      <w:pPr>
        <w:pStyle w:val="ListParagraph"/>
        <w:numPr>
          <w:ilvl w:val="0"/>
          <w:numId w:val="1"/>
        </w:numPr>
      </w:pPr>
      <w:r w:rsidRPr="00EA0069">
        <w:rPr>
          <w:color w:val="000000"/>
          <w:shd w:val="clear" w:color="auto" w:fill="FFFFFF"/>
        </w:rPr>
        <w:t>"The study revealed that the ways faculty integrated teaching and research was influenced less by the level of students taught than by whether the purpose of their teaching efforts was classroom instruction or training students to conduct research.”</w:t>
      </w:r>
    </w:p>
    <w:p w:rsidR="00EA0069" w:rsidRPr="00EA0069" w:rsidRDefault="00EA0069" w:rsidP="00EA0069">
      <w:pPr>
        <w:pStyle w:val="ListParagraph"/>
        <w:numPr>
          <w:ilvl w:val="0"/>
          <w:numId w:val="1"/>
        </w:numPr>
      </w:pPr>
      <w:r w:rsidRPr="00EA0069">
        <w:rPr>
          <w:rFonts w:cs="Arial"/>
          <w:color w:val="000000"/>
          <w:shd w:val="clear" w:color="auto" w:fill="FFFFFF"/>
        </w:rPr>
        <w:t>English faculty found it much more straightforward to integrate their research into a class with a general title ("Theory of Literature", for example) than did physics faculty.</w:t>
      </w:r>
    </w:p>
    <w:p w:rsidR="00EA0069" w:rsidRPr="00EA0069" w:rsidRDefault="00EA0069" w:rsidP="00EA0069">
      <w:pPr>
        <w:pStyle w:val="ListParagraph"/>
        <w:numPr>
          <w:ilvl w:val="0"/>
          <w:numId w:val="1"/>
        </w:numPr>
      </w:pPr>
      <w:r w:rsidRPr="00EA0069">
        <w:rPr>
          <w:rFonts w:cs="Arial"/>
          <w:color w:val="000000"/>
          <w:shd w:val="clear" w:color="auto" w:fill="FFFFFF"/>
        </w:rPr>
        <w:t>...but, physics faculty were more likely to collaborate on research with peers and even undergraduates than were English faculty.</w:t>
      </w:r>
    </w:p>
    <w:p w:rsidR="00EA0069" w:rsidRPr="00EA0069" w:rsidRDefault="00EA0069" w:rsidP="0085231C">
      <w:pPr>
        <w:pStyle w:val="ListParagraph"/>
        <w:numPr>
          <w:ilvl w:val="0"/>
          <w:numId w:val="1"/>
        </w:numPr>
      </w:pPr>
      <w:r w:rsidRPr="00EA0069">
        <w:rPr>
          <w:color w:val="000000"/>
          <w:shd w:val="clear" w:color="auto" w:fill="FFFFFF"/>
        </w:rPr>
        <w:t>Faculty who are very involved in the decisions about what courses are taught in their department are more likely to design classes where they can integrate their teaching and research.</w:t>
      </w:r>
    </w:p>
    <w:p w:rsidR="00EA0069" w:rsidRPr="00EA0069" w:rsidRDefault="00EA0069" w:rsidP="0085231C">
      <w:pPr>
        <w:pStyle w:val="ListParagraph"/>
        <w:numPr>
          <w:ilvl w:val="0"/>
          <w:numId w:val="1"/>
        </w:numPr>
      </w:pPr>
      <w:r w:rsidRPr="00EA0069">
        <w:rPr>
          <w:color w:val="000000"/>
          <w:shd w:val="clear" w:color="auto" w:fill="FFFFFF"/>
        </w:rPr>
        <w:t>All of the faculty in the study seemed to think that integrating research into their teaching was beneficial to both aspects of their career.</w:t>
      </w:r>
    </w:p>
    <w:p w:rsidR="00EA0069" w:rsidRPr="00EA0069" w:rsidRDefault="00EA0069">
      <w:r w:rsidRPr="00EA0069">
        <w:br w:type="page"/>
      </w:r>
    </w:p>
    <w:p w:rsidR="00EA0069" w:rsidRPr="00EA0069" w:rsidRDefault="00EA0069" w:rsidP="00EA0069">
      <w:pPr>
        <w:pStyle w:val="ListParagraph"/>
      </w:pPr>
    </w:p>
    <w:p w:rsidR="00EA0069" w:rsidRPr="00EA0069" w:rsidRDefault="00EA0069" w:rsidP="00EA0069">
      <w:pPr>
        <w:spacing w:after="240" w:line="240" w:lineRule="auto"/>
        <w:outlineLvl w:val="0"/>
        <w:rPr>
          <w:rFonts w:eastAsia="Times New Roman" w:cs="Arial"/>
          <w:bCs/>
          <w:color w:val="474747"/>
          <w:kern w:val="36"/>
          <w:sz w:val="32"/>
        </w:rPr>
      </w:pPr>
      <w:r w:rsidRPr="00EA0069">
        <w:rPr>
          <w:rFonts w:eastAsia="Times New Roman" w:cs="Arial"/>
          <w:bCs/>
          <w:color w:val="474747"/>
          <w:kern w:val="36"/>
          <w:sz w:val="32"/>
        </w:rPr>
        <w:t>Linking Research and Teaching to Benefit Student Learning</w:t>
      </w:r>
    </w:p>
    <w:p w:rsidR="00EA0069" w:rsidRPr="00EA0069" w:rsidRDefault="00EA0069" w:rsidP="00EA0069">
      <w:r w:rsidRPr="00EA0069">
        <w:t>Mick Healey</w:t>
      </w:r>
    </w:p>
    <w:p w:rsidR="00EA0069" w:rsidRPr="00EA0069" w:rsidRDefault="00EA0069" w:rsidP="00EA0069">
      <w:r w:rsidRPr="00EA0069">
        <w:rPr>
          <w:i/>
        </w:rPr>
        <w:t>Journal of Geography in Higher Education</w:t>
      </w:r>
      <w:r w:rsidRPr="00EA0069">
        <w:t>, Vol. 29, Issue 2, 2005, pp. 183-201</w:t>
      </w:r>
    </w:p>
    <w:p w:rsidR="00EA0069" w:rsidRPr="00EA0069" w:rsidRDefault="00EA0069" w:rsidP="00EA0069">
      <w:pPr>
        <w:rPr>
          <w:color w:val="000000"/>
          <w:shd w:val="clear" w:color="auto" w:fill="FFFFFF"/>
        </w:rPr>
      </w:pPr>
      <w:r w:rsidRPr="00EA0069">
        <w:rPr>
          <w:b/>
        </w:rPr>
        <w:t>Thesis:</w:t>
      </w:r>
      <w:r w:rsidRPr="00EA0069">
        <w:t xml:space="preserve"> </w:t>
      </w:r>
      <w:r w:rsidRPr="00EA0069">
        <w:rPr>
          <w:rFonts w:cs="Arial"/>
          <w:color w:val="000000"/>
          <w:shd w:val="clear" w:color="auto" w:fill="FFFFFF"/>
        </w:rPr>
        <w:t>The main aim of the paper is to explore the complexity and contested nature of the research-teaching nexus in different national and institutional contexts, with particular reference to geography.</w:t>
      </w:r>
    </w:p>
    <w:p w:rsidR="00EA0069" w:rsidRPr="00EA0069" w:rsidRDefault="00EA0069" w:rsidP="00EA0069">
      <w:pPr>
        <w:rPr>
          <w:color w:val="000000"/>
          <w:shd w:val="clear" w:color="auto" w:fill="FFFFFF"/>
        </w:rPr>
      </w:pPr>
      <w:r w:rsidRPr="00EA0069">
        <w:rPr>
          <w:b/>
          <w:color w:val="000000"/>
          <w:shd w:val="clear" w:color="auto" w:fill="FFFFFF"/>
        </w:rPr>
        <w:t>Approach/method:</w:t>
      </w:r>
      <w:r w:rsidRPr="00EA0069">
        <w:rPr>
          <w:color w:val="000000"/>
          <w:shd w:val="clear" w:color="auto" w:fill="FFFFFF"/>
        </w:rPr>
        <w:t xml:space="preserve"> </w:t>
      </w:r>
      <w:r w:rsidRPr="00EA0069">
        <w:rPr>
          <w:rFonts w:cs="Arial"/>
          <w:color w:val="000000"/>
          <w:shd w:val="clear" w:color="auto" w:fill="FFFFFF"/>
        </w:rPr>
        <w:t>1. Comprehensive literature review of the studies on complexity and contested nature of the research-teaching nexus; 2. Analysis and comparison of the nature of research, and that of teaching and learning in Geography based on the data from UK</w:t>
      </w:r>
    </w:p>
    <w:p w:rsidR="00EA0069" w:rsidRPr="00EA0069" w:rsidRDefault="00EA0069" w:rsidP="00EA0069">
      <w:pPr>
        <w:rPr>
          <w:b/>
        </w:rPr>
      </w:pPr>
      <w:r w:rsidRPr="00EA0069">
        <w:rPr>
          <w:b/>
        </w:rPr>
        <w:t>Findings/take away points</w:t>
      </w:r>
    </w:p>
    <w:p w:rsidR="00EA0069" w:rsidRPr="00EA0069" w:rsidRDefault="00EA0069" w:rsidP="00EA0069">
      <w:pPr>
        <w:pStyle w:val="ListParagraph"/>
        <w:numPr>
          <w:ilvl w:val="0"/>
          <w:numId w:val="1"/>
        </w:numPr>
      </w:pPr>
      <w:r w:rsidRPr="00EA0069">
        <w:rPr>
          <w:color w:val="000000"/>
          <w:shd w:val="clear" w:color="auto" w:fill="FFFFFF"/>
        </w:rPr>
        <w:t xml:space="preserve">The complex and contested nature of the research-teaching nexus in geography fundamentally reflects the fact that the nature of research, teaching and learning is changing and conceptions of them differ, both among staff and among students. </w:t>
      </w:r>
    </w:p>
    <w:p w:rsidR="00EA0069" w:rsidRPr="00EA0069" w:rsidRDefault="00EA0069" w:rsidP="00EA0069">
      <w:pPr>
        <w:pStyle w:val="ListParagraph"/>
        <w:numPr>
          <w:ilvl w:val="0"/>
          <w:numId w:val="1"/>
        </w:numPr>
      </w:pPr>
      <w:r w:rsidRPr="00EA0069">
        <w:rPr>
          <w:color w:val="000000"/>
          <w:shd w:val="clear" w:color="auto" w:fill="FFFFFF"/>
        </w:rPr>
        <w:t>It is suggested that undergraduate students are likely to gain most benefit from research in terms of depth of learning and understanding when they are involved actively, particularly through various forms of inquiry-based learning.</w:t>
      </w:r>
    </w:p>
    <w:p w:rsidR="00EA0069" w:rsidRPr="00EA0069" w:rsidRDefault="00EA0069" w:rsidP="00EA0069">
      <w:pPr>
        <w:pStyle w:val="ListParagraph"/>
        <w:numPr>
          <w:ilvl w:val="0"/>
          <w:numId w:val="1"/>
        </w:numPr>
      </w:pPr>
      <w:r w:rsidRPr="00EA0069">
        <w:rPr>
          <w:rFonts w:cs="Arial"/>
          <w:color w:val="000000"/>
          <w:shd w:val="clear" w:color="auto" w:fill="FFFFFF"/>
        </w:rPr>
        <w:t xml:space="preserve">Our understanding of the complex and dynamic relationships between research and learning is only going to be furthered from a perspective of healthy </w:t>
      </w:r>
      <w:proofErr w:type="spellStart"/>
      <w:r w:rsidRPr="00EA0069">
        <w:rPr>
          <w:rFonts w:cs="Arial"/>
          <w:color w:val="000000"/>
          <w:shd w:val="clear" w:color="auto" w:fill="FFFFFF"/>
        </w:rPr>
        <w:t>scepticism</w:t>
      </w:r>
      <w:proofErr w:type="spellEnd"/>
      <w:r w:rsidRPr="00EA0069">
        <w:rPr>
          <w:rFonts w:cs="Arial"/>
          <w:color w:val="000000"/>
          <w:shd w:val="clear" w:color="auto" w:fill="FFFFFF"/>
        </w:rPr>
        <w:t xml:space="preserve"> rather than mischievous vested interest. --- by Hughes (2003)</w:t>
      </w:r>
    </w:p>
    <w:p w:rsidR="00EA0069" w:rsidRPr="00EA0069" w:rsidRDefault="00EA0069" w:rsidP="00EA0069">
      <w:pPr>
        <w:pStyle w:val="ListParagraph"/>
        <w:numPr>
          <w:ilvl w:val="0"/>
          <w:numId w:val="1"/>
        </w:numPr>
      </w:pPr>
      <w:r w:rsidRPr="00EA0069">
        <w:rPr>
          <w:color w:val="000000"/>
          <w:shd w:val="clear" w:color="auto" w:fill="FFFFFF"/>
        </w:rPr>
        <w:t>The twentieth century saw the university change from a site in which teaching and research stood in a reasonably comfortable relationship with each other to one in which they became mutually antagonistic. --- by Barnett (2003)</w:t>
      </w:r>
    </w:p>
    <w:p w:rsidR="00EA0069" w:rsidRPr="00EA0069" w:rsidRDefault="00EA0069" w:rsidP="00EA0069">
      <w:pPr>
        <w:pStyle w:val="ListParagraph"/>
        <w:numPr>
          <w:ilvl w:val="0"/>
          <w:numId w:val="1"/>
        </w:numPr>
      </w:pPr>
      <w:r w:rsidRPr="00EA0069">
        <w:rPr>
          <w:color w:val="000000"/>
          <w:shd w:val="clear" w:color="auto" w:fill="FFFFFF"/>
        </w:rPr>
        <w:t xml:space="preserve">It is possible to design curricula that develop the research-teaching nexus, along three dimensions, according to whether:  </w:t>
      </w:r>
    </w:p>
    <w:p w:rsidR="00EA0069" w:rsidRPr="00EA0069" w:rsidRDefault="00EA0069" w:rsidP="00EA0069">
      <w:pPr>
        <w:pStyle w:val="ListParagraph"/>
        <w:numPr>
          <w:ilvl w:val="1"/>
          <w:numId w:val="1"/>
        </w:numPr>
      </w:pPr>
      <w:r w:rsidRPr="00EA0069">
        <w:rPr>
          <w:color w:val="000000"/>
          <w:shd w:val="clear" w:color="auto" w:fill="FFFFFF"/>
        </w:rPr>
        <w:t xml:space="preserve">the emphasis is on research content or research processes; </w:t>
      </w:r>
    </w:p>
    <w:p w:rsidR="00EA0069" w:rsidRPr="00EA0069" w:rsidRDefault="00EA0069" w:rsidP="00EA0069">
      <w:pPr>
        <w:pStyle w:val="ListParagraph"/>
        <w:numPr>
          <w:ilvl w:val="1"/>
          <w:numId w:val="1"/>
        </w:numPr>
      </w:pPr>
      <w:r w:rsidRPr="00EA0069">
        <w:rPr>
          <w:color w:val="000000"/>
          <w:shd w:val="clear" w:color="auto" w:fill="FFFFFF"/>
        </w:rPr>
        <w:t xml:space="preserve">the students are treated as the audience or participants; </w:t>
      </w:r>
    </w:p>
    <w:p w:rsidR="00EA0069" w:rsidRPr="00EA0069" w:rsidRDefault="00EA0069" w:rsidP="00EA0069">
      <w:pPr>
        <w:pStyle w:val="ListParagraph"/>
        <w:numPr>
          <w:ilvl w:val="1"/>
          <w:numId w:val="1"/>
        </w:numPr>
      </w:pPr>
      <w:proofErr w:type="gramStart"/>
      <w:r w:rsidRPr="00EA0069">
        <w:rPr>
          <w:color w:val="000000"/>
          <w:shd w:val="clear" w:color="auto" w:fill="FFFFFF"/>
        </w:rPr>
        <w:t>the</w:t>
      </w:r>
      <w:proofErr w:type="gramEnd"/>
      <w:r w:rsidRPr="00EA0069">
        <w:rPr>
          <w:color w:val="000000"/>
          <w:shd w:val="clear" w:color="auto" w:fill="FFFFFF"/>
        </w:rPr>
        <w:t xml:space="preserve"> teaching is teacher-focused or student-focused.</w:t>
      </w:r>
    </w:p>
    <w:p w:rsidR="00EA0069" w:rsidRPr="00EA0069" w:rsidRDefault="00EA0069" w:rsidP="00EA0069">
      <w:pPr>
        <w:pStyle w:val="ListParagraph"/>
        <w:numPr>
          <w:ilvl w:val="0"/>
          <w:numId w:val="1"/>
        </w:numPr>
      </w:pPr>
      <w:r w:rsidRPr="00EA0069">
        <w:rPr>
          <w:color w:val="000000"/>
          <w:shd w:val="clear" w:color="auto" w:fill="FFFFFF"/>
        </w:rPr>
        <w:t>Most of the studies of the research-teaching nexus have focused on the experience of academic staff and whether they need to be excellent researchers to be excellent teachers. Relatively few studies have examined the perception of students of the relevance of research to their learning</w:t>
      </w:r>
    </w:p>
    <w:p w:rsidR="00EA0069" w:rsidRPr="00EA0069" w:rsidRDefault="00EA0069" w:rsidP="00EA0069">
      <w:pPr>
        <w:pStyle w:val="ListParagraph"/>
        <w:numPr>
          <w:ilvl w:val="0"/>
          <w:numId w:val="1"/>
        </w:numPr>
      </w:pPr>
      <w:r w:rsidRPr="00EA0069">
        <w:rPr>
          <w:rFonts w:cs="Arial"/>
          <w:color w:val="000000"/>
          <w:shd w:val="clear" w:color="auto" w:fill="FFFFFF"/>
        </w:rPr>
        <w:t>Many students perceived clear benefits from staff research, including staff enthusiasm, the credibility of staff, and the reflected glory of being taught by nationally and internationally known researchers; however, they also perceived disadvantages from staff involvement in research, particularly staff availability.</w:t>
      </w:r>
    </w:p>
    <w:p w:rsidR="00EA0069" w:rsidRPr="00EA0069" w:rsidRDefault="00EA0069" w:rsidP="00EA0069">
      <w:pPr>
        <w:pStyle w:val="ListParagraph"/>
        <w:numPr>
          <w:ilvl w:val="0"/>
          <w:numId w:val="1"/>
        </w:numPr>
      </w:pPr>
      <w:r w:rsidRPr="00EA0069">
        <w:rPr>
          <w:color w:val="000000"/>
          <w:shd w:val="clear" w:color="auto" w:fill="FFFFFF"/>
        </w:rPr>
        <w:t xml:space="preserve">The nature of the linkages between research and teaching in geography is complex and contested. This is ..., but more fundamentally reflects the fact that the nature of research, teaching and learning is changing and conceptions of them </w:t>
      </w:r>
      <w:proofErr w:type="gramStart"/>
      <w:r w:rsidRPr="00EA0069">
        <w:rPr>
          <w:color w:val="000000"/>
          <w:shd w:val="clear" w:color="auto" w:fill="FFFFFF"/>
        </w:rPr>
        <w:t>differ, ...</w:t>
      </w:r>
      <w:proofErr w:type="gramEnd"/>
      <w:r w:rsidRPr="00EA0069">
        <w:rPr>
          <w:color w:val="000000"/>
          <w:shd w:val="clear" w:color="auto" w:fill="FFFFFF"/>
        </w:rPr>
        <w:t xml:space="preserve"> The wide range of discipline types represented within geography further complicates the matter.</w:t>
      </w:r>
    </w:p>
    <w:p w:rsidR="00EA0069" w:rsidRPr="00EA0069" w:rsidRDefault="00EA0069" w:rsidP="00EA0069">
      <w:pPr>
        <w:pStyle w:val="Heading1"/>
        <w:shd w:val="clear" w:color="auto" w:fill="FFFFFF"/>
        <w:spacing w:before="105" w:beforeAutospacing="0" w:after="210" w:afterAutospacing="0" w:line="540" w:lineRule="atLeast"/>
        <w:textAlignment w:val="baseline"/>
        <w:rPr>
          <w:rFonts w:asciiTheme="minorHAnsi" w:hAnsiTheme="minorHAnsi"/>
          <w:b w:val="0"/>
          <w:bCs w:val="0"/>
          <w:color w:val="333333"/>
          <w:spacing w:val="9"/>
          <w:sz w:val="32"/>
          <w:szCs w:val="22"/>
          <w:lang w:val="en"/>
        </w:rPr>
      </w:pPr>
      <w:r w:rsidRPr="00EA0069">
        <w:rPr>
          <w:rFonts w:asciiTheme="minorHAnsi" w:hAnsiTheme="minorHAnsi"/>
          <w:b w:val="0"/>
          <w:bCs w:val="0"/>
          <w:color w:val="333333"/>
          <w:spacing w:val="9"/>
          <w:sz w:val="32"/>
          <w:szCs w:val="22"/>
          <w:lang w:val="en"/>
        </w:rPr>
        <w:lastRenderedPageBreak/>
        <w:t xml:space="preserve">The </w:t>
      </w:r>
      <w:proofErr w:type="spellStart"/>
      <w:r w:rsidRPr="00EA0069">
        <w:rPr>
          <w:rFonts w:asciiTheme="minorHAnsi" w:hAnsiTheme="minorHAnsi"/>
          <w:b w:val="0"/>
          <w:bCs w:val="0"/>
          <w:color w:val="333333"/>
          <w:spacing w:val="9"/>
          <w:sz w:val="32"/>
          <w:szCs w:val="22"/>
          <w:lang w:val="en"/>
        </w:rPr>
        <w:t>teaching</w:t>
      </w:r>
      <w:proofErr w:type="gramStart"/>
      <w:r w:rsidRPr="00EA0069">
        <w:rPr>
          <w:rFonts w:asciiTheme="minorHAnsi" w:hAnsiTheme="minorHAnsi"/>
          <w:b w:val="0"/>
          <w:bCs w:val="0"/>
          <w:color w:val="333333"/>
          <w:spacing w:val="9"/>
          <w:sz w:val="32"/>
          <w:szCs w:val="22"/>
          <w:lang w:val="en"/>
        </w:rPr>
        <w:t>:research</w:t>
      </w:r>
      <w:proofErr w:type="spellEnd"/>
      <w:proofErr w:type="gramEnd"/>
      <w:r w:rsidRPr="00EA0069">
        <w:rPr>
          <w:rFonts w:asciiTheme="minorHAnsi" w:hAnsiTheme="minorHAnsi"/>
          <w:b w:val="0"/>
          <w:bCs w:val="0"/>
          <w:color w:val="333333"/>
          <w:spacing w:val="9"/>
          <w:sz w:val="32"/>
          <w:szCs w:val="22"/>
          <w:lang w:val="en"/>
        </w:rPr>
        <w:t xml:space="preserve"> nexus : a model for institutional management</w:t>
      </w:r>
    </w:p>
    <w:p w:rsidR="00EA0069" w:rsidRPr="00EA0069" w:rsidRDefault="00EA0069" w:rsidP="00EA0069">
      <w:pPr>
        <w:pStyle w:val="NormalWeb"/>
        <w:shd w:val="clear" w:color="auto" w:fill="FFFFFF"/>
        <w:spacing w:before="0" w:beforeAutospacing="0" w:after="0" w:afterAutospacing="0"/>
        <w:textAlignment w:val="baseline"/>
        <w:rPr>
          <w:rFonts w:asciiTheme="minorHAnsi" w:hAnsiTheme="minorHAnsi" w:cs="Arial"/>
          <w:i/>
          <w:color w:val="333333"/>
          <w:sz w:val="22"/>
          <w:szCs w:val="22"/>
        </w:rPr>
      </w:pPr>
      <w:r w:rsidRPr="00EA0069">
        <w:rPr>
          <w:rFonts w:asciiTheme="minorHAnsi" w:hAnsiTheme="minorHAnsi" w:cs="Arial"/>
          <w:i/>
          <w:color w:val="333333"/>
          <w:sz w:val="22"/>
          <w:szCs w:val="22"/>
        </w:rPr>
        <w:t>John Taylor</w:t>
      </w:r>
    </w:p>
    <w:p w:rsidR="00EA0069" w:rsidRPr="00EA0069" w:rsidRDefault="00FC502B" w:rsidP="00EA0069">
      <w:pPr>
        <w:pStyle w:val="NormalWeb"/>
        <w:shd w:val="clear" w:color="auto" w:fill="FFFFFF"/>
        <w:spacing w:before="0" w:beforeAutospacing="0" w:after="0" w:afterAutospacing="0"/>
        <w:textAlignment w:val="baseline"/>
        <w:rPr>
          <w:rFonts w:asciiTheme="minorHAnsi" w:hAnsiTheme="minorHAnsi" w:cs="Arial"/>
          <w:i/>
          <w:color w:val="333333"/>
          <w:sz w:val="22"/>
          <w:szCs w:val="22"/>
        </w:rPr>
      </w:pPr>
      <w:hyperlink r:id="rId5" w:history="1">
        <w:r w:rsidR="00EA0069" w:rsidRPr="00EA0069">
          <w:rPr>
            <w:rStyle w:val="journaltitle"/>
            <w:rFonts w:asciiTheme="minorHAnsi" w:hAnsiTheme="minorHAnsi" w:cs="Arial"/>
            <w:i/>
            <w:color w:val="333333"/>
            <w:sz w:val="22"/>
            <w:szCs w:val="22"/>
            <w:bdr w:val="none" w:sz="0" w:space="0" w:color="auto" w:frame="1"/>
          </w:rPr>
          <w:t>Higher Education</w:t>
        </w:r>
      </w:hyperlink>
    </w:p>
    <w:p w:rsidR="00EA0069" w:rsidRPr="00EA0069" w:rsidRDefault="00EA0069" w:rsidP="00EA0069">
      <w:pPr>
        <w:pStyle w:val="NormalWeb"/>
        <w:shd w:val="clear" w:color="auto" w:fill="FFFFFF"/>
        <w:spacing w:before="0" w:beforeAutospacing="0" w:after="0" w:afterAutospacing="0"/>
        <w:textAlignment w:val="baseline"/>
        <w:rPr>
          <w:rFonts w:asciiTheme="minorHAnsi" w:hAnsiTheme="minorHAnsi" w:cs="Arial"/>
          <w:color w:val="333333"/>
          <w:sz w:val="22"/>
          <w:szCs w:val="22"/>
        </w:rPr>
      </w:pPr>
      <w:r w:rsidRPr="00EA0069">
        <w:rPr>
          <w:rStyle w:val="articlecitationyear"/>
          <w:rFonts w:asciiTheme="minorHAnsi" w:hAnsiTheme="minorHAnsi" w:cs="Arial"/>
          <w:color w:val="333333"/>
          <w:sz w:val="22"/>
          <w:szCs w:val="22"/>
          <w:bdr w:val="none" w:sz="0" w:space="0" w:color="auto" w:frame="1"/>
        </w:rPr>
        <w:t>December 2007,</w:t>
      </w:r>
      <w:r w:rsidRPr="00EA0069">
        <w:rPr>
          <w:rStyle w:val="apple-converted-space"/>
          <w:rFonts w:asciiTheme="minorHAnsi" w:hAnsiTheme="minorHAnsi" w:cs="Arial"/>
          <w:color w:val="333333"/>
          <w:sz w:val="22"/>
          <w:szCs w:val="22"/>
          <w:bdr w:val="none" w:sz="0" w:space="0" w:color="auto" w:frame="1"/>
        </w:rPr>
        <w:t> </w:t>
      </w:r>
      <w:r w:rsidRPr="00EA0069">
        <w:rPr>
          <w:rStyle w:val="articlecitationvolume"/>
          <w:rFonts w:asciiTheme="minorHAnsi" w:hAnsiTheme="minorHAnsi" w:cs="Arial"/>
          <w:color w:val="333333"/>
          <w:sz w:val="22"/>
          <w:szCs w:val="22"/>
          <w:bdr w:val="none" w:sz="0" w:space="0" w:color="auto" w:frame="1"/>
        </w:rPr>
        <w:t>Volume 54,</w:t>
      </w:r>
      <w:hyperlink r:id="rId6" w:history="1">
        <w:r w:rsidRPr="00EA0069">
          <w:rPr>
            <w:rStyle w:val="Hyperlink"/>
            <w:rFonts w:asciiTheme="minorHAnsi" w:hAnsiTheme="minorHAnsi" w:cs="Arial"/>
            <w:color w:val="333333"/>
            <w:sz w:val="22"/>
            <w:szCs w:val="22"/>
            <w:bdr w:val="none" w:sz="0" w:space="0" w:color="auto" w:frame="1"/>
          </w:rPr>
          <w:t> Issue 6,</w:t>
        </w:r>
      </w:hyperlink>
      <w:r w:rsidRPr="00EA0069">
        <w:rPr>
          <w:rStyle w:val="apple-converted-space"/>
          <w:rFonts w:asciiTheme="minorHAnsi" w:hAnsiTheme="minorHAnsi" w:cs="Arial"/>
          <w:color w:val="333333"/>
          <w:sz w:val="22"/>
          <w:szCs w:val="22"/>
          <w:bdr w:val="none" w:sz="0" w:space="0" w:color="auto" w:frame="1"/>
        </w:rPr>
        <w:t> </w:t>
      </w:r>
      <w:r w:rsidRPr="00EA0069">
        <w:rPr>
          <w:rStyle w:val="articlecitationpages"/>
          <w:rFonts w:asciiTheme="minorHAnsi" w:hAnsiTheme="minorHAnsi" w:cs="Arial"/>
          <w:color w:val="333333"/>
          <w:sz w:val="22"/>
          <w:szCs w:val="22"/>
          <w:bdr w:val="none" w:sz="0" w:space="0" w:color="auto" w:frame="1"/>
        </w:rPr>
        <w:t>pp 867-884</w:t>
      </w:r>
    </w:p>
    <w:p w:rsidR="00EA0069" w:rsidRPr="00EA0069" w:rsidRDefault="00EA0069" w:rsidP="00EA0069"/>
    <w:p w:rsidR="00EA0069" w:rsidRPr="00EA0069" w:rsidRDefault="00EA0069" w:rsidP="00EA0069">
      <w:pPr>
        <w:rPr>
          <w:color w:val="000000"/>
          <w:shd w:val="clear" w:color="auto" w:fill="FFFFFF"/>
        </w:rPr>
      </w:pPr>
      <w:r w:rsidRPr="00EA0069">
        <w:rPr>
          <w:b/>
        </w:rPr>
        <w:t>Thesis:</w:t>
      </w:r>
      <w:r w:rsidRPr="00EA0069">
        <w:t xml:space="preserve"> </w:t>
      </w:r>
      <w:r w:rsidRPr="00EA0069">
        <w:rPr>
          <w:color w:val="000000"/>
          <w:shd w:val="clear" w:color="auto" w:fill="FFFFFF"/>
        </w:rPr>
        <w:t>Focus on how institutions support actively or passively faculty research &amp; teaching.</w:t>
      </w:r>
    </w:p>
    <w:p w:rsidR="00EA0069" w:rsidRPr="00EA0069" w:rsidRDefault="00EA0069" w:rsidP="00EA0069">
      <w:pPr>
        <w:rPr>
          <w:color w:val="000000"/>
          <w:shd w:val="clear" w:color="auto" w:fill="FFFFFF"/>
        </w:rPr>
      </w:pPr>
      <w:r w:rsidRPr="00EA0069">
        <w:rPr>
          <w:b/>
          <w:color w:val="000000"/>
          <w:shd w:val="clear" w:color="auto" w:fill="FFFFFF"/>
        </w:rPr>
        <w:t>Approach/method:</w:t>
      </w:r>
      <w:r w:rsidRPr="00EA0069">
        <w:rPr>
          <w:color w:val="000000"/>
          <w:shd w:val="clear" w:color="auto" w:fill="FFFFFF"/>
        </w:rPr>
        <w:t xml:space="preserve"> </w:t>
      </w:r>
      <w:r w:rsidRPr="00EA0069">
        <w:rPr>
          <w:rFonts w:cs="Arial"/>
          <w:color w:val="000000"/>
          <w:shd w:val="clear" w:color="auto" w:fill="FFFFFF"/>
        </w:rPr>
        <w:t>Conceptual.  Propose a model for management of teaching/research nexus at administration level.</w:t>
      </w:r>
    </w:p>
    <w:p w:rsidR="00EA0069" w:rsidRPr="00EA0069" w:rsidRDefault="00EA0069" w:rsidP="00EA0069">
      <w:pPr>
        <w:rPr>
          <w:b/>
        </w:rPr>
      </w:pPr>
      <w:r w:rsidRPr="00EA0069">
        <w:rPr>
          <w:b/>
        </w:rPr>
        <w:t>Findings/take away points</w:t>
      </w:r>
    </w:p>
    <w:p w:rsidR="00EA0069" w:rsidRPr="00EA0069" w:rsidRDefault="00EA0069" w:rsidP="00EA0069">
      <w:pPr>
        <w:pStyle w:val="ListParagraph"/>
        <w:numPr>
          <w:ilvl w:val="0"/>
          <w:numId w:val="2"/>
        </w:numPr>
      </w:pPr>
      <w:r w:rsidRPr="00EA0069">
        <w:rPr>
          <w:color w:val="000000"/>
          <w:shd w:val="clear" w:color="auto" w:fill="FFFFFF"/>
        </w:rPr>
        <w:t xml:space="preserve">Institutions have a passive or active strategy to promoting teaching &amp; research.  </w:t>
      </w:r>
    </w:p>
    <w:p w:rsidR="00EA0069" w:rsidRPr="00EA0069" w:rsidRDefault="00EA0069" w:rsidP="00EA0069">
      <w:pPr>
        <w:pStyle w:val="ListParagraph"/>
        <w:numPr>
          <w:ilvl w:val="0"/>
          <w:numId w:val="2"/>
        </w:numPr>
        <w:rPr>
          <w:color w:val="000000"/>
          <w:shd w:val="clear" w:color="auto" w:fill="FFFFFF"/>
        </w:rPr>
      </w:pPr>
      <w:r w:rsidRPr="00EA0069">
        <w:rPr>
          <w:color w:val="000000"/>
          <w:shd w:val="clear" w:color="auto" w:fill="FFFFFF"/>
        </w:rPr>
        <w:t>Active strategies guide research with funding and strategic priorities in contrast to allowing more organic growth of research.</w:t>
      </w:r>
    </w:p>
    <w:p w:rsidR="00EA0069" w:rsidRPr="00EA0069" w:rsidRDefault="00EA0069" w:rsidP="00EA0069">
      <w:pPr>
        <w:rPr>
          <w:color w:val="000000"/>
          <w:shd w:val="clear" w:color="auto" w:fill="FFFFFF"/>
        </w:rPr>
      </w:pPr>
    </w:p>
    <w:p w:rsidR="00EA0069" w:rsidRPr="00EA0069" w:rsidRDefault="00EA0069" w:rsidP="00EA0069">
      <w:pPr>
        <w:rPr>
          <w:color w:val="000000"/>
          <w:shd w:val="clear" w:color="auto" w:fill="FFFFFF"/>
        </w:rPr>
      </w:pPr>
    </w:p>
    <w:p w:rsidR="00EA0069" w:rsidRPr="00EA0069" w:rsidRDefault="00EA0069" w:rsidP="00EA0069">
      <w:pPr>
        <w:rPr>
          <w:color w:val="000000"/>
          <w:sz w:val="32"/>
          <w:shd w:val="clear" w:color="auto" w:fill="FFFFFF"/>
        </w:rPr>
      </w:pPr>
      <w:r w:rsidRPr="00EA0069">
        <w:rPr>
          <w:rFonts w:eastAsia="Times New Roman" w:cs="Times New Roman"/>
          <w:color w:val="333333"/>
          <w:kern w:val="36"/>
          <w:sz w:val="32"/>
        </w:rPr>
        <w:t>Faculty Research-Driven vs. Community-Driven Experiential Learning in the Quantitative Public Administration Curriculum</w:t>
      </w:r>
    </w:p>
    <w:p w:rsidR="00EA0069" w:rsidRPr="00EA0069" w:rsidRDefault="00EA0069" w:rsidP="00EA0069">
      <w:pPr>
        <w:shd w:val="clear" w:color="auto" w:fill="FFFFFF"/>
        <w:spacing w:after="0" w:line="240" w:lineRule="atLeast"/>
        <w:rPr>
          <w:rFonts w:eastAsia="Times New Roman" w:cs="Arial"/>
          <w:color w:val="222222"/>
        </w:rPr>
      </w:pPr>
      <w:r w:rsidRPr="00EA0069">
        <w:rPr>
          <w:rFonts w:eastAsia="Times New Roman" w:cs="Arial"/>
          <w:color w:val="222222"/>
        </w:rPr>
        <w:t xml:space="preserve">Eva M. </w:t>
      </w:r>
      <w:proofErr w:type="spellStart"/>
      <w:r w:rsidRPr="00EA0069">
        <w:rPr>
          <w:rFonts w:eastAsia="Times New Roman" w:cs="Arial"/>
          <w:color w:val="222222"/>
        </w:rPr>
        <w:t>Witesman</w:t>
      </w:r>
      <w:proofErr w:type="spellEnd"/>
    </w:p>
    <w:p w:rsidR="00EA0069" w:rsidRPr="00EA0069" w:rsidRDefault="00EA0069" w:rsidP="00EA0069">
      <w:pPr>
        <w:shd w:val="clear" w:color="auto" w:fill="FFFFFF"/>
        <w:spacing w:after="0" w:line="240" w:lineRule="atLeast"/>
        <w:rPr>
          <w:rFonts w:eastAsia="Times New Roman" w:cs="Arial"/>
          <w:color w:val="222222"/>
        </w:rPr>
      </w:pPr>
      <w:r w:rsidRPr="00EA0069">
        <w:rPr>
          <w:rFonts w:eastAsia="Times New Roman" w:cs="Arial"/>
          <w:i/>
          <w:iCs/>
          <w:color w:val="222222"/>
        </w:rPr>
        <w:t>Journal of Public Affairs Education</w:t>
      </w:r>
    </w:p>
    <w:p w:rsidR="00EA0069" w:rsidRPr="00EA0069" w:rsidRDefault="00EA0069" w:rsidP="00EA0069">
      <w:pPr>
        <w:shd w:val="clear" w:color="auto" w:fill="FFFFFF"/>
        <w:spacing w:after="0" w:line="240" w:lineRule="atLeast"/>
        <w:rPr>
          <w:rFonts w:eastAsia="Times New Roman" w:cs="Arial"/>
          <w:color w:val="222222"/>
        </w:rPr>
      </w:pPr>
      <w:r w:rsidRPr="00EA0069">
        <w:rPr>
          <w:rFonts w:eastAsia="Times New Roman" w:cs="Arial"/>
          <w:color w:val="222222"/>
        </w:rPr>
        <w:t>Vol. 18, No. 4 (FALL 2012), pp. 775-796</w:t>
      </w:r>
    </w:p>
    <w:p w:rsidR="00EA0069" w:rsidRPr="00EA0069" w:rsidRDefault="00EA0069" w:rsidP="00EA0069"/>
    <w:p w:rsidR="00EA0069" w:rsidRPr="00EA0069" w:rsidRDefault="00EA0069" w:rsidP="00EA0069">
      <w:pPr>
        <w:rPr>
          <w:color w:val="000000"/>
          <w:shd w:val="clear" w:color="auto" w:fill="FFFFFF"/>
        </w:rPr>
      </w:pPr>
      <w:r w:rsidRPr="00EA0069">
        <w:rPr>
          <w:b/>
        </w:rPr>
        <w:t>Thesis:</w:t>
      </w:r>
      <w:r w:rsidRPr="00EA0069">
        <w:t xml:space="preserve"> </w:t>
      </w:r>
      <w:r w:rsidRPr="00EA0069">
        <w:rPr>
          <w:rFonts w:cs="Arial"/>
          <w:color w:val="000000"/>
          <w:shd w:val="clear" w:color="auto" w:fill="FFFFFF"/>
        </w:rPr>
        <w:t>Compared two experiential learning approaches to teaching a graduate methods/statistics public administration course. Community-driven approach allowed students to develop a survey project with a community organization. In the research-driven approach, students surveyed community organizations on a project developed in concert with the instructor's research.</w:t>
      </w:r>
    </w:p>
    <w:p w:rsidR="00EA0069" w:rsidRPr="00EA0069" w:rsidRDefault="00EA0069" w:rsidP="00EA0069">
      <w:pPr>
        <w:rPr>
          <w:color w:val="000000"/>
          <w:shd w:val="clear" w:color="auto" w:fill="FFFFFF"/>
        </w:rPr>
      </w:pPr>
      <w:r w:rsidRPr="00EA0069">
        <w:rPr>
          <w:b/>
          <w:color w:val="000000"/>
          <w:shd w:val="clear" w:color="auto" w:fill="FFFFFF"/>
        </w:rPr>
        <w:t>Approach/method:</w:t>
      </w:r>
      <w:r w:rsidRPr="00EA0069">
        <w:rPr>
          <w:color w:val="000000"/>
          <w:shd w:val="clear" w:color="auto" w:fill="FFFFFF"/>
        </w:rPr>
        <w:t xml:space="preserve"> </w:t>
      </w:r>
      <w:r w:rsidRPr="00EA0069">
        <w:rPr>
          <w:rFonts w:cs="Arial"/>
          <w:color w:val="000000"/>
          <w:shd w:val="clear" w:color="auto" w:fill="FFFFFF"/>
        </w:rPr>
        <w:t>Experimental.</w:t>
      </w:r>
    </w:p>
    <w:p w:rsidR="00EA0069" w:rsidRPr="00EA0069" w:rsidRDefault="00EA0069" w:rsidP="00EA0069">
      <w:pPr>
        <w:rPr>
          <w:b/>
        </w:rPr>
      </w:pPr>
      <w:r w:rsidRPr="00EA0069">
        <w:rPr>
          <w:b/>
        </w:rPr>
        <w:t>Findings/take away points</w:t>
      </w:r>
    </w:p>
    <w:p w:rsidR="00EA0069" w:rsidRPr="00EA0069" w:rsidRDefault="00EA0069" w:rsidP="00EA0069">
      <w:pPr>
        <w:pStyle w:val="ListParagraph"/>
        <w:numPr>
          <w:ilvl w:val="0"/>
          <w:numId w:val="2"/>
        </w:numPr>
        <w:rPr>
          <w:color w:val="000000"/>
          <w:shd w:val="clear" w:color="auto" w:fill="FFFFFF"/>
        </w:rPr>
      </w:pPr>
      <w:r w:rsidRPr="00EA0069">
        <w:rPr>
          <w:color w:val="000000"/>
          <w:shd w:val="clear" w:color="auto" w:fill="FFFFFF"/>
        </w:rPr>
        <w:t>Learning outcomes did not differ. Student perception of instructor's teaching was better in research-driven approach. Some evidence that students felt a greater sense of ownership and value to world in community-driven approach.</w:t>
      </w:r>
    </w:p>
    <w:p w:rsidR="00EA0069" w:rsidRPr="00EA0069" w:rsidRDefault="00EA0069" w:rsidP="00EA0069">
      <w:pPr>
        <w:pStyle w:val="ListParagraph"/>
        <w:numPr>
          <w:ilvl w:val="0"/>
          <w:numId w:val="2"/>
        </w:numPr>
        <w:rPr>
          <w:color w:val="000000"/>
          <w:shd w:val="clear" w:color="auto" w:fill="FFFFFF"/>
        </w:rPr>
      </w:pPr>
      <w:r w:rsidRPr="00EA0069">
        <w:rPr>
          <w:rFonts w:cs="Arial"/>
          <w:color w:val="000000"/>
          <w:shd w:val="clear" w:color="auto" w:fill="FFFFFF"/>
        </w:rPr>
        <w:t>Good example of how these two approaches can be done; both integrate teaching and research but research-driven approach also integrates the "hats" worn by instructor</w:t>
      </w:r>
      <w:r w:rsidRPr="00EA0069">
        <w:rPr>
          <w:color w:val="000000"/>
          <w:shd w:val="clear" w:color="auto" w:fill="FFFFFF"/>
        </w:rPr>
        <w:t>.</w:t>
      </w:r>
    </w:p>
    <w:p w:rsidR="00EA0069" w:rsidRPr="00EA0069" w:rsidRDefault="00EA0069">
      <w:r w:rsidRPr="00EA0069">
        <w:br w:type="page"/>
      </w:r>
    </w:p>
    <w:p w:rsidR="00EA0069" w:rsidRPr="00EA0069" w:rsidRDefault="00EA0069" w:rsidP="00EA0069">
      <w:pPr>
        <w:pStyle w:val="Heading1"/>
        <w:spacing w:before="0" w:beforeAutospacing="0" w:after="240" w:afterAutospacing="0"/>
        <w:rPr>
          <w:rFonts w:asciiTheme="minorHAnsi" w:hAnsiTheme="minorHAnsi" w:cs="Arial"/>
          <w:b w:val="0"/>
          <w:color w:val="474747"/>
          <w:sz w:val="32"/>
          <w:szCs w:val="22"/>
        </w:rPr>
      </w:pPr>
      <w:r w:rsidRPr="00EA0069">
        <w:rPr>
          <w:rFonts w:asciiTheme="minorHAnsi" w:hAnsiTheme="minorHAnsi" w:cs="Arial"/>
          <w:b w:val="0"/>
          <w:color w:val="474747"/>
          <w:sz w:val="32"/>
          <w:szCs w:val="22"/>
        </w:rPr>
        <w:lastRenderedPageBreak/>
        <w:t>An output perspective on the teaching–research nexus: an analysis focusing on the United States higher education system</w:t>
      </w:r>
    </w:p>
    <w:p w:rsidR="00EA0069" w:rsidRPr="00EA0069" w:rsidRDefault="00EA0069" w:rsidP="00EA0069">
      <w:proofErr w:type="spellStart"/>
      <w:r w:rsidRPr="00EA0069">
        <w:t>Horta</w:t>
      </w:r>
      <w:proofErr w:type="spellEnd"/>
      <w:r w:rsidRPr="00EA0069">
        <w:t xml:space="preserve">, </w:t>
      </w:r>
      <w:proofErr w:type="spellStart"/>
      <w:r w:rsidRPr="00EA0069">
        <w:t>Dautel</w:t>
      </w:r>
      <w:proofErr w:type="spellEnd"/>
      <w:r w:rsidRPr="00EA0069">
        <w:t xml:space="preserve"> and </w:t>
      </w:r>
      <w:proofErr w:type="spellStart"/>
      <w:r w:rsidRPr="00EA0069">
        <w:t>Veloso</w:t>
      </w:r>
      <w:proofErr w:type="spellEnd"/>
    </w:p>
    <w:p w:rsidR="00EA0069" w:rsidRPr="00EA0069" w:rsidRDefault="00EA0069" w:rsidP="00EA0069">
      <w:r w:rsidRPr="00EA0069">
        <w:rPr>
          <w:i/>
        </w:rPr>
        <w:t>Studies in Higher Education</w:t>
      </w:r>
      <w:r w:rsidRPr="00EA0069">
        <w:t>, Vol 37, Issue 2, 2012, pp. 171-187</w:t>
      </w:r>
    </w:p>
    <w:p w:rsidR="00EA0069" w:rsidRPr="00EA0069" w:rsidRDefault="00EA0069" w:rsidP="00EA0069"/>
    <w:p w:rsidR="00EA0069" w:rsidRPr="00EA0069" w:rsidRDefault="00EA0069" w:rsidP="00EA0069">
      <w:pPr>
        <w:rPr>
          <w:rFonts w:cs="Arial"/>
          <w:color w:val="000000"/>
          <w:shd w:val="clear" w:color="auto" w:fill="FFFFFF"/>
        </w:rPr>
      </w:pPr>
      <w:r w:rsidRPr="00EA0069">
        <w:rPr>
          <w:b/>
        </w:rPr>
        <w:t>Thesis:</w:t>
      </w:r>
      <w:r w:rsidRPr="00EA0069">
        <w:t xml:space="preserve"> </w:t>
      </w:r>
      <w:r w:rsidRPr="00EA0069">
        <w:rPr>
          <w:rFonts w:cs="Arial"/>
          <w:color w:val="000000"/>
          <w:shd w:val="clear" w:color="auto" w:fill="FFFFFF"/>
        </w:rPr>
        <w:t>Teaching and research can be leveraged synergistically and contribute to research outputs</w:t>
      </w:r>
    </w:p>
    <w:p w:rsidR="00EA0069" w:rsidRPr="00EA0069" w:rsidRDefault="00EA0069" w:rsidP="00EA0069">
      <w:pPr>
        <w:rPr>
          <w:color w:val="000000"/>
          <w:shd w:val="clear" w:color="auto" w:fill="FFFFFF"/>
        </w:rPr>
      </w:pPr>
      <w:r w:rsidRPr="00EA0069">
        <w:rPr>
          <w:b/>
          <w:color w:val="000000"/>
          <w:shd w:val="clear" w:color="auto" w:fill="FFFFFF"/>
        </w:rPr>
        <w:t>Approach/method:</w:t>
      </w:r>
      <w:r w:rsidRPr="00EA0069">
        <w:rPr>
          <w:color w:val="000000"/>
          <w:shd w:val="clear" w:color="auto" w:fill="FFFFFF"/>
        </w:rPr>
        <w:t xml:space="preserve"> Cross-sectional data from the ‘National Study of Postsecondary Faculty 03–04’ survey. Large sample size (n=16,000)</w:t>
      </w:r>
    </w:p>
    <w:p w:rsidR="00EA0069" w:rsidRPr="00EA0069" w:rsidRDefault="00EA0069" w:rsidP="00EA0069">
      <w:pPr>
        <w:rPr>
          <w:b/>
        </w:rPr>
      </w:pPr>
      <w:r w:rsidRPr="00EA0069">
        <w:rPr>
          <w:b/>
        </w:rPr>
        <w:t>Findings/take away points</w:t>
      </w:r>
    </w:p>
    <w:p w:rsidR="00EA0069" w:rsidRPr="00EA0069" w:rsidRDefault="00EA0069" w:rsidP="00EA0069">
      <w:pPr>
        <w:pStyle w:val="ListParagraph"/>
        <w:numPr>
          <w:ilvl w:val="0"/>
          <w:numId w:val="2"/>
        </w:numPr>
      </w:pPr>
      <w:r w:rsidRPr="00EA0069">
        <w:rPr>
          <w:color w:val="000000"/>
          <w:shd w:val="clear" w:color="auto" w:fill="FFFFFF"/>
        </w:rPr>
        <w:t xml:space="preserve">"proper understanding of the teaching–research nexus requires a broader perspective, that can encompass a multitude of learning processes that are part of the process of knowledge construction" </w:t>
      </w:r>
    </w:p>
    <w:p w:rsidR="00EA0069" w:rsidRPr="00EA0069" w:rsidRDefault="00EA0069" w:rsidP="00EA0069">
      <w:pPr>
        <w:pStyle w:val="ListParagraph"/>
        <w:numPr>
          <w:ilvl w:val="0"/>
          <w:numId w:val="2"/>
        </w:numPr>
      </w:pPr>
      <w:r w:rsidRPr="00EA0069">
        <w:rPr>
          <w:color w:val="000000"/>
          <w:shd w:val="clear" w:color="auto" w:fill="FFFFFF"/>
        </w:rPr>
        <w:t>"</w:t>
      </w:r>
      <w:proofErr w:type="gramStart"/>
      <w:r w:rsidRPr="00EA0069">
        <w:rPr>
          <w:color w:val="000000"/>
          <w:shd w:val="clear" w:color="auto" w:fill="FFFFFF"/>
        </w:rPr>
        <w:t>graduate</w:t>
      </w:r>
      <w:proofErr w:type="gramEnd"/>
      <w:r w:rsidRPr="00EA0069">
        <w:rPr>
          <w:color w:val="000000"/>
          <w:shd w:val="clear" w:color="auto" w:fill="FFFFFF"/>
        </w:rPr>
        <w:t xml:space="preserve"> students tend to support faculty production of articles in refereed journals, whilst undergraduate students tend to impact positively on the publication of other outputs." </w:t>
      </w:r>
    </w:p>
    <w:p w:rsidR="00EA0069" w:rsidRPr="00EA0069" w:rsidRDefault="00EA0069" w:rsidP="00EA0069">
      <w:pPr>
        <w:pStyle w:val="ListParagraph"/>
        <w:numPr>
          <w:ilvl w:val="0"/>
          <w:numId w:val="2"/>
        </w:numPr>
      </w:pPr>
      <w:proofErr w:type="gramStart"/>
      <w:r w:rsidRPr="00EA0069">
        <w:rPr>
          <w:color w:val="000000"/>
          <w:shd w:val="clear" w:color="auto" w:fill="FFFFFF"/>
        </w:rPr>
        <w:t>" contribution</w:t>
      </w:r>
      <w:proofErr w:type="gramEnd"/>
      <w:r w:rsidRPr="00EA0069">
        <w:rPr>
          <w:color w:val="000000"/>
          <w:shd w:val="clear" w:color="auto" w:fill="FFFFFF"/>
        </w:rPr>
        <w:t xml:space="preserve"> of students to the research output of faculty occurs when the curriculum is designed to include inquiry-based processes, instead of simply focusing on knowledge acquisition processes (more fit for credit classes)."</w:t>
      </w:r>
    </w:p>
    <w:p w:rsidR="00EA0069" w:rsidRPr="00EA0069" w:rsidRDefault="00EA0069" w:rsidP="00EA0069"/>
    <w:p w:rsidR="00EA0069" w:rsidRPr="00EA0069" w:rsidRDefault="00EA0069" w:rsidP="00EA0069">
      <w:pPr>
        <w:pStyle w:val="Heading1"/>
        <w:spacing w:before="0" w:beforeAutospacing="0" w:after="240" w:afterAutospacing="0"/>
        <w:rPr>
          <w:rFonts w:asciiTheme="minorHAnsi" w:hAnsiTheme="minorHAnsi" w:cs="Arial"/>
          <w:b w:val="0"/>
          <w:color w:val="474747"/>
          <w:sz w:val="32"/>
          <w:szCs w:val="22"/>
        </w:rPr>
      </w:pPr>
      <w:r w:rsidRPr="00EA0069">
        <w:rPr>
          <w:rFonts w:asciiTheme="minorHAnsi" w:hAnsiTheme="minorHAnsi" w:cs="Arial"/>
          <w:b w:val="0"/>
          <w:color w:val="474747"/>
          <w:sz w:val="32"/>
          <w:szCs w:val="22"/>
        </w:rPr>
        <w:t xml:space="preserve">Tightening Curricular Connections: CQI and Effective Curriculum Planning </w:t>
      </w:r>
    </w:p>
    <w:p w:rsidR="00EA0069" w:rsidRPr="00EA0069" w:rsidRDefault="00EA0069" w:rsidP="00EA0069">
      <w:r w:rsidRPr="00EA0069">
        <w:t xml:space="preserve">Harper and </w:t>
      </w:r>
      <w:proofErr w:type="spellStart"/>
      <w:r w:rsidRPr="00EA0069">
        <w:t>Lattuca</w:t>
      </w:r>
      <w:proofErr w:type="spellEnd"/>
    </w:p>
    <w:p w:rsidR="00EA0069" w:rsidRPr="00EA0069" w:rsidRDefault="00EA0069" w:rsidP="00EA0069">
      <w:r w:rsidRPr="00EA0069">
        <w:rPr>
          <w:i/>
        </w:rPr>
        <w:t>Research in Higher Education</w:t>
      </w:r>
      <w:r w:rsidRPr="00EA0069">
        <w:t>, Vol 6, 2010, p. 505</w:t>
      </w:r>
    </w:p>
    <w:p w:rsidR="00EA0069" w:rsidRPr="00EA0069" w:rsidRDefault="00EA0069" w:rsidP="00EA0069"/>
    <w:p w:rsidR="00EA0069" w:rsidRPr="00EA0069" w:rsidRDefault="00EA0069" w:rsidP="00EA0069">
      <w:pPr>
        <w:rPr>
          <w:rFonts w:cs="Arial"/>
          <w:color w:val="000000"/>
          <w:shd w:val="clear" w:color="auto" w:fill="FFFFFF"/>
        </w:rPr>
      </w:pPr>
      <w:r w:rsidRPr="00EA0069">
        <w:rPr>
          <w:b/>
        </w:rPr>
        <w:t>Thesis:</w:t>
      </w:r>
      <w:r w:rsidRPr="00EA0069">
        <w:t xml:space="preserve"> </w:t>
      </w:r>
      <w:r w:rsidRPr="00EA0069">
        <w:rPr>
          <w:rFonts w:cs="Arial"/>
          <w:color w:val="000000"/>
          <w:shd w:val="clear" w:color="auto" w:fill="FFFFFF"/>
        </w:rPr>
        <w:t>Applying CQI (continuous quality improvement) principles in the classroom will impact student learning in a positive way.</w:t>
      </w:r>
    </w:p>
    <w:p w:rsidR="00EA0069" w:rsidRPr="00EA0069" w:rsidRDefault="00EA0069">
      <w:pPr>
        <w:rPr>
          <w:rFonts w:cs="Arial"/>
          <w:color w:val="000000"/>
          <w:shd w:val="clear" w:color="auto" w:fill="FFFFFF"/>
        </w:rPr>
      </w:pPr>
      <w:r w:rsidRPr="00EA0069">
        <w:rPr>
          <w:rFonts w:cs="Arial"/>
          <w:color w:val="000000"/>
          <w:shd w:val="clear" w:color="auto" w:fill="FFFFFF"/>
        </w:rPr>
        <w:br w:type="page"/>
      </w:r>
    </w:p>
    <w:p w:rsidR="00EA0069" w:rsidRPr="00EA0069" w:rsidRDefault="00EA0069" w:rsidP="00EA0069">
      <w:pPr>
        <w:rPr>
          <w:color w:val="000000"/>
          <w:sz w:val="32"/>
          <w:shd w:val="clear" w:color="auto" w:fill="FFFFFF"/>
        </w:rPr>
      </w:pPr>
      <w:r w:rsidRPr="00EA0069">
        <w:rPr>
          <w:color w:val="000000"/>
          <w:sz w:val="32"/>
          <w:shd w:val="clear" w:color="auto" w:fill="FFFFFF"/>
        </w:rPr>
        <w:lastRenderedPageBreak/>
        <w:t xml:space="preserve">How (or </w:t>
      </w:r>
      <w:proofErr w:type="gramStart"/>
      <w:r w:rsidRPr="00EA0069">
        <w:rPr>
          <w:color w:val="000000"/>
          <w:sz w:val="32"/>
          <w:shd w:val="clear" w:color="auto" w:fill="FFFFFF"/>
        </w:rPr>
        <w:t>Whether</w:t>
      </w:r>
      <w:proofErr w:type="gramEnd"/>
      <w:r w:rsidRPr="00EA0069">
        <w:rPr>
          <w:color w:val="000000"/>
          <w:sz w:val="32"/>
          <w:shd w:val="clear" w:color="auto" w:fill="FFFFFF"/>
        </w:rPr>
        <w:t>) to Integrate Research into Classroom Teaching for All Students and All higher Education Institutions.</w:t>
      </w:r>
    </w:p>
    <w:p w:rsidR="00EA0069" w:rsidRPr="00EA0069" w:rsidRDefault="00EA0069" w:rsidP="00EA0069">
      <w:pPr>
        <w:rPr>
          <w:color w:val="000000"/>
          <w:shd w:val="clear" w:color="auto" w:fill="FFFFFF"/>
        </w:rPr>
      </w:pPr>
      <w:r w:rsidRPr="00EA0069">
        <w:rPr>
          <w:color w:val="000000"/>
          <w:shd w:val="clear" w:color="auto" w:fill="FFFFFF"/>
        </w:rPr>
        <w:t>Alan Jenkins</w:t>
      </w:r>
    </w:p>
    <w:p w:rsidR="00EA0069" w:rsidRPr="00EA0069" w:rsidRDefault="00EA0069" w:rsidP="00EA0069">
      <w:pPr>
        <w:rPr>
          <w:color w:val="000000"/>
          <w:shd w:val="clear" w:color="auto" w:fill="FFFFFF"/>
        </w:rPr>
      </w:pPr>
      <w:r w:rsidRPr="00EA0069">
        <w:rPr>
          <w:color w:val="000000"/>
          <w:shd w:val="clear" w:color="auto" w:fill="FFFFFF"/>
        </w:rPr>
        <w:t>Innovations in Undergraduate Research and Honors Education: Proceedings of the Second Schreyer National Conference. Paper 20. (2001)</w:t>
      </w:r>
    </w:p>
    <w:p w:rsidR="00EA0069" w:rsidRPr="00EA0069" w:rsidRDefault="00EA0069" w:rsidP="00EA0069">
      <w:pPr>
        <w:rPr>
          <w:color w:val="000000"/>
          <w:shd w:val="clear" w:color="auto" w:fill="FFFFFF"/>
        </w:rPr>
      </w:pPr>
    </w:p>
    <w:p w:rsidR="00EA0069" w:rsidRPr="00EA0069" w:rsidRDefault="00EA0069" w:rsidP="00EA0069">
      <w:pPr>
        <w:rPr>
          <w:rFonts w:cs="Arial"/>
          <w:color w:val="000000"/>
          <w:shd w:val="clear" w:color="auto" w:fill="FFFFFF"/>
        </w:rPr>
      </w:pPr>
      <w:r w:rsidRPr="00EA0069">
        <w:rPr>
          <w:b/>
        </w:rPr>
        <w:t>Thesis:</w:t>
      </w:r>
      <w:r w:rsidRPr="00EA0069">
        <w:t xml:space="preserve"> </w:t>
      </w:r>
      <w:r w:rsidRPr="00EA0069">
        <w:rPr>
          <w:rFonts w:cs="Arial"/>
          <w:color w:val="000000"/>
          <w:shd w:val="clear" w:color="auto" w:fill="FFFFFF"/>
        </w:rPr>
        <w:t>Research and teaching are "loosely coupled" and highly rationed in higher education. Although some early quantitative evidence questions the value of integrating research and teaching, the qualitative evidence points to its value and the need for greater inclusion across undergraduate institutions.</w:t>
      </w:r>
    </w:p>
    <w:p w:rsidR="00EA0069" w:rsidRPr="00EA0069" w:rsidRDefault="00EA0069" w:rsidP="00EA0069">
      <w:pPr>
        <w:rPr>
          <w:rFonts w:cs="Arial"/>
          <w:color w:val="000000"/>
          <w:shd w:val="clear" w:color="auto" w:fill="FFFFFF"/>
        </w:rPr>
      </w:pPr>
      <w:r w:rsidRPr="00EA0069">
        <w:rPr>
          <w:b/>
          <w:color w:val="000000"/>
          <w:shd w:val="clear" w:color="auto" w:fill="FFFFFF"/>
        </w:rPr>
        <w:t>Approach/method:</w:t>
      </w:r>
      <w:r w:rsidRPr="00EA0069">
        <w:rPr>
          <w:color w:val="000000"/>
          <w:shd w:val="clear" w:color="auto" w:fill="FFFFFF"/>
        </w:rPr>
        <w:t xml:space="preserve"> </w:t>
      </w:r>
      <w:r w:rsidRPr="00EA0069">
        <w:rPr>
          <w:rFonts w:cs="Arial"/>
          <w:color w:val="000000"/>
          <w:shd w:val="clear" w:color="auto" w:fill="FFFFFF"/>
        </w:rPr>
        <w:t>Literature review that incorporates perspectives from the UK, Australia, and the U.S.</w:t>
      </w:r>
    </w:p>
    <w:p w:rsidR="00EA0069" w:rsidRPr="00EA0069" w:rsidRDefault="00EA0069" w:rsidP="00EA0069">
      <w:pPr>
        <w:rPr>
          <w:b/>
        </w:rPr>
      </w:pPr>
      <w:r w:rsidRPr="00EA0069">
        <w:rPr>
          <w:b/>
        </w:rPr>
        <w:t>Findings/take away points</w:t>
      </w:r>
    </w:p>
    <w:p w:rsidR="00EA0069" w:rsidRPr="00EA0069" w:rsidRDefault="00EA0069" w:rsidP="00EA0069">
      <w:pPr>
        <w:pStyle w:val="ListParagraph"/>
        <w:numPr>
          <w:ilvl w:val="0"/>
          <w:numId w:val="3"/>
        </w:numPr>
        <w:rPr>
          <w:rFonts w:cs="Arial"/>
          <w:color w:val="000000"/>
          <w:shd w:val="clear" w:color="auto" w:fill="FFFFFF"/>
        </w:rPr>
      </w:pPr>
      <w:r w:rsidRPr="00EA0069">
        <w:rPr>
          <w:rFonts w:cs="Arial"/>
          <w:color w:val="000000"/>
          <w:shd w:val="clear" w:color="auto" w:fill="FFFFFF"/>
        </w:rPr>
        <w:t xml:space="preserve">Across countries, teaching/research "coupling" tends to be concentrated in honors colleges, upper level courses, and private institutions. </w:t>
      </w:r>
    </w:p>
    <w:p w:rsidR="00EA0069" w:rsidRPr="00EA0069" w:rsidRDefault="00EA0069" w:rsidP="00EA0069">
      <w:pPr>
        <w:pStyle w:val="ListParagraph"/>
        <w:numPr>
          <w:ilvl w:val="0"/>
          <w:numId w:val="3"/>
        </w:numPr>
        <w:rPr>
          <w:rFonts w:cs="Arial"/>
          <w:color w:val="000000"/>
          <w:shd w:val="clear" w:color="auto" w:fill="FFFFFF"/>
        </w:rPr>
      </w:pPr>
      <w:r w:rsidRPr="00EA0069">
        <w:rPr>
          <w:rFonts w:cs="Arial"/>
          <w:color w:val="000000"/>
          <w:shd w:val="clear" w:color="auto" w:fill="FFFFFF"/>
        </w:rPr>
        <w:t>Yet, integrating research and teaching is central to constructivist/active learning approaches and preparing students for the "knowledge" economy.</w:t>
      </w:r>
    </w:p>
    <w:p w:rsidR="00EA0069" w:rsidRPr="00EA0069" w:rsidRDefault="00EA0069" w:rsidP="00EA0069">
      <w:pPr>
        <w:pStyle w:val="ListParagraph"/>
        <w:numPr>
          <w:ilvl w:val="0"/>
          <w:numId w:val="3"/>
        </w:numPr>
        <w:rPr>
          <w:rFonts w:cs="Arial"/>
          <w:color w:val="000000"/>
          <w:shd w:val="clear" w:color="auto" w:fill="FFFFFF"/>
        </w:rPr>
      </w:pPr>
      <w:r w:rsidRPr="00EA0069">
        <w:rPr>
          <w:rFonts w:cs="Arial"/>
          <w:color w:val="000000"/>
          <w:shd w:val="clear" w:color="auto" w:fill="FFFFFF"/>
        </w:rPr>
        <w:t xml:space="preserve"> The authors call for expanding students' access to teaching that is grounded in research.</w:t>
      </w:r>
    </w:p>
    <w:p w:rsidR="00EA0069" w:rsidRPr="00EA0069" w:rsidRDefault="00EA0069" w:rsidP="00EA0069"/>
    <w:sectPr w:rsidR="00EA0069" w:rsidRPr="00EA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5C6E"/>
    <w:multiLevelType w:val="hybridMultilevel"/>
    <w:tmpl w:val="5E3A349E"/>
    <w:lvl w:ilvl="0" w:tplc="AA309B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62178"/>
    <w:multiLevelType w:val="hybridMultilevel"/>
    <w:tmpl w:val="784466C0"/>
    <w:lvl w:ilvl="0" w:tplc="AA309B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94A61"/>
    <w:multiLevelType w:val="hybridMultilevel"/>
    <w:tmpl w:val="D722C9A0"/>
    <w:lvl w:ilvl="0" w:tplc="AA309B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69"/>
    <w:rsid w:val="0000388D"/>
    <w:rsid w:val="000058E1"/>
    <w:rsid w:val="0001377E"/>
    <w:rsid w:val="00013F72"/>
    <w:rsid w:val="00020EA8"/>
    <w:rsid w:val="00026C19"/>
    <w:rsid w:val="00030291"/>
    <w:rsid w:val="000323DE"/>
    <w:rsid w:val="00033298"/>
    <w:rsid w:val="00033FF2"/>
    <w:rsid w:val="0003705D"/>
    <w:rsid w:val="0003765B"/>
    <w:rsid w:val="00044054"/>
    <w:rsid w:val="00053874"/>
    <w:rsid w:val="00061FD9"/>
    <w:rsid w:val="00075F7B"/>
    <w:rsid w:val="00075FEE"/>
    <w:rsid w:val="000823B9"/>
    <w:rsid w:val="00084399"/>
    <w:rsid w:val="00085AE4"/>
    <w:rsid w:val="00093696"/>
    <w:rsid w:val="000A23FB"/>
    <w:rsid w:val="000A2BCF"/>
    <w:rsid w:val="000A3D65"/>
    <w:rsid w:val="000A545A"/>
    <w:rsid w:val="000A5BD7"/>
    <w:rsid w:val="000B08E4"/>
    <w:rsid w:val="000B5862"/>
    <w:rsid w:val="000C1F77"/>
    <w:rsid w:val="000C2577"/>
    <w:rsid w:val="000D23A2"/>
    <w:rsid w:val="000D4DC3"/>
    <w:rsid w:val="000D6A84"/>
    <w:rsid w:val="000E54D1"/>
    <w:rsid w:val="000F444D"/>
    <w:rsid w:val="00103063"/>
    <w:rsid w:val="001047C8"/>
    <w:rsid w:val="0010517F"/>
    <w:rsid w:val="001072AA"/>
    <w:rsid w:val="00107EF9"/>
    <w:rsid w:val="00113A8F"/>
    <w:rsid w:val="001169E1"/>
    <w:rsid w:val="001239E2"/>
    <w:rsid w:val="00134F16"/>
    <w:rsid w:val="00142447"/>
    <w:rsid w:val="001462D8"/>
    <w:rsid w:val="001474AD"/>
    <w:rsid w:val="001475FF"/>
    <w:rsid w:val="0015264B"/>
    <w:rsid w:val="00157CF9"/>
    <w:rsid w:val="00163ACB"/>
    <w:rsid w:val="001656BA"/>
    <w:rsid w:val="00166D8E"/>
    <w:rsid w:val="00167ED4"/>
    <w:rsid w:val="001707CE"/>
    <w:rsid w:val="00172C78"/>
    <w:rsid w:val="00173C35"/>
    <w:rsid w:val="00195208"/>
    <w:rsid w:val="001A02EF"/>
    <w:rsid w:val="001A2BFA"/>
    <w:rsid w:val="001A379E"/>
    <w:rsid w:val="001A429F"/>
    <w:rsid w:val="001A65BB"/>
    <w:rsid w:val="001A7C6B"/>
    <w:rsid w:val="001B003F"/>
    <w:rsid w:val="001C7034"/>
    <w:rsid w:val="001D140D"/>
    <w:rsid w:val="001D4C2A"/>
    <w:rsid w:val="001D6E4B"/>
    <w:rsid w:val="001E246D"/>
    <w:rsid w:val="001F3E15"/>
    <w:rsid w:val="001F4394"/>
    <w:rsid w:val="001F44F2"/>
    <w:rsid w:val="001F7995"/>
    <w:rsid w:val="001F7C66"/>
    <w:rsid w:val="002163ED"/>
    <w:rsid w:val="00220F27"/>
    <w:rsid w:val="00221A9A"/>
    <w:rsid w:val="00222FC5"/>
    <w:rsid w:val="002233E6"/>
    <w:rsid w:val="00225FBC"/>
    <w:rsid w:val="00230142"/>
    <w:rsid w:val="00231A16"/>
    <w:rsid w:val="002348C4"/>
    <w:rsid w:val="002355D2"/>
    <w:rsid w:val="00236C96"/>
    <w:rsid w:val="0024001C"/>
    <w:rsid w:val="00243B76"/>
    <w:rsid w:val="00244B05"/>
    <w:rsid w:val="00245474"/>
    <w:rsid w:val="00247233"/>
    <w:rsid w:val="00251DD4"/>
    <w:rsid w:val="00256D18"/>
    <w:rsid w:val="00256F8B"/>
    <w:rsid w:val="00260969"/>
    <w:rsid w:val="00266025"/>
    <w:rsid w:val="00267100"/>
    <w:rsid w:val="00271F41"/>
    <w:rsid w:val="002754B6"/>
    <w:rsid w:val="002825BF"/>
    <w:rsid w:val="002838F3"/>
    <w:rsid w:val="00283950"/>
    <w:rsid w:val="0028464B"/>
    <w:rsid w:val="00284A52"/>
    <w:rsid w:val="00287CF5"/>
    <w:rsid w:val="0029221A"/>
    <w:rsid w:val="00295B75"/>
    <w:rsid w:val="002969F3"/>
    <w:rsid w:val="002A7B2D"/>
    <w:rsid w:val="002B11B1"/>
    <w:rsid w:val="002B2098"/>
    <w:rsid w:val="002B3594"/>
    <w:rsid w:val="002B7E3C"/>
    <w:rsid w:val="002C1513"/>
    <w:rsid w:val="002C3379"/>
    <w:rsid w:val="002C5F36"/>
    <w:rsid w:val="002C641E"/>
    <w:rsid w:val="002C653B"/>
    <w:rsid w:val="002C669F"/>
    <w:rsid w:val="002C673C"/>
    <w:rsid w:val="002D06C7"/>
    <w:rsid w:val="002E18F7"/>
    <w:rsid w:val="002E29D5"/>
    <w:rsid w:val="002E6DE8"/>
    <w:rsid w:val="003006C6"/>
    <w:rsid w:val="00300CA3"/>
    <w:rsid w:val="003152B7"/>
    <w:rsid w:val="00316EFC"/>
    <w:rsid w:val="0032018B"/>
    <w:rsid w:val="00321DEF"/>
    <w:rsid w:val="00323711"/>
    <w:rsid w:val="00323D31"/>
    <w:rsid w:val="003301C5"/>
    <w:rsid w:val="00330488"/>
    <w:rsid w:val="003377AC"/>
    <w:rsid w:val="00343C01"/>
    <w:rsid w:val="00346985"/>
    <w:rsid w:val="003469AC"/>
    <w:rsid w:val="003470F7"/>
    <w:rsid w:val="003474D5"/>
    <w:rsid w:val="00350B2F"/>
    <w:rsid w:val="003515E1"/>
    <w:rsid w:val="0035735E"/>
    <w:rsid w:val="003577B6"/>
    <w:rsid w:val="00357CAF"/>
    <w:rsid w:val="00362A52"/>
    <w:rsid w:val="00367FF5"/>
    <w:rsid w:val="0037071E"/>
    <w:rsid w:val="0037107A"/>
    <w:rsid w:val="0037297B"/>
    <w:rsid w:val="00374F5D"/>
    <w:rsid w:val="00382ADF"/>
    <w:rsid w:val="003831CA"/>
    <w:rsid w:val="00383D2B"/>
    <w:rsid w:val="00387E15"/>
    <w:rsid w:val="0039413D"/>
    <w:rsid w:val="003968C5"/>
    <w:rsid w:val="00397EE3"/>
    <w:rsid w:val="003A71EC"/>
    <w:rsid w:val="003A764C"/>
    <w:rsid w:val="003B0318"/>
    <w:rsid w:val="003B5F10"/>
    <w:rsid w:val="003B73D4"/>
    <w:rsid w:val="003C1BF6"/>
    <w:rsid w:val="003C24E0"/>
    <w:rsid w:val="003C40B4"/>
    <w:rsid w:val="003C4C69"/>
    <w:rsid w:val="003D394B"/>
    <w:rsid w:val="003D4FF8"/>
    <w:rsid w:val="003D71FA"/>
    <w:rsid w:val="003E34E0"/>
    <w:rsid w:val="003E443D"/>
    <w:rsid w:val="003E7908"/>
    <w:rsid w:val="003F15E0"/>
    <w:rsid w:val="003F4B21"/>
    <w:rsid w:val="003F5CBB"/>
    <w:rsid w:val="003F7897"/>
    <w:rsid w:val="004016DF"/>
    <w:rsid w:val="00403DF3"/>
    <w:rsid w:val="00407705"/>
    <w:rsid w:val="00411E31"/>
    <w:rsid w:val="00414ECA"/>
    <w:rsid w:val="004176E6"/>
    <w:rsid w:val="00417FA1"/>
    <w:rsid w:val="004204DF"/>
    <w:rsid w:val="0042752D"/>
    <w:rsid w:val="004333E6"/>
    <w:rsid w:val="00437A0B"/>
    <w:rsid w:val="00442A30"/>
    <w:rsid w:val="00442B5A"/>
    <w:rsid w:val="004460B5"/>
    <w:rsid w:val="00450DAC"/>
    <w:rsid w:val="0045116F"/>
    <w:rsid w:val="0045443A"/>
    <w:rsid w:val="00455552"/>
    <w:rsid w:val="00457C8F"/>
    <w:rsid w:val="00460FD0"/>
    <w:rsid w:val="00462435"/>
    <w:rsid w:val="00464AC9"/>
    <w:rsid w:val="00467679"/>
    <w:rsid w:val="00471110"/>
    <w:rsid w:val="00472E88"/>
    <w:rsid w:val="00476379"/>
    <w:rsid w:val="004775B4"/>
    <w:rsid w:val="00483646"/>
    <w:rsid w:val="00487AAA"/>
    <w:rsid w:val="00491F89"/>
    <w:rsid w:val="00495B67"/>
    <w:rsid w:val="004A4ED5"/>
    <w:rsid w:val="004B2C21"/>
    <w:rsid w:val="004B30AA"/>
    <w:rsid w:val="004C661D"/>
    <w:rsid w:val="004D0B61"/>
    <w:rsid w:val="004D1742"/>
    <w:rsid w:val="004D37D5"/>
    <w:rsid w:val="004D7FE0"/>
    <w:rsid w:val="004E0066"/>
    <w:rsid w:val="004E1A7E"/>
    <w:rsid w:val="004E278D"/>
    <w:rsid w:val="004E37B4"/>
    <w:rsid w:val="004E6366"/>
    <w:rsid w:val="004F0965"/>
    <w:rsid w:val="004F249D"/>
    <w:rsid w:val="004F2CD8"/>
    <w:rsid w:val="004F2D8B"/>
    <w:rsid w:val="004F3823"/>
    <w:rsid w:val="004F6584"/>
    <w:rsid w:val="00501029"/>
    <w:rsid w:val="00503A31"/>
    <w:rsid w:val="0051278C"/>
    <w:rsid w:val="00515355"/>
    <w:rsid w:val="00516106"/>
    <w:rsid w:val="00520301"/>
    <w:rsid w:val="005215F4"/>
    <w:rsid w:val="00522936"/>
    <w:rsid w:val="00526B46"/>
    <w:rsid w:val="00532CB9"/>
    <w:rsid w:val="005342E0"/>
    <w:rsid w:val="0053711B"/>
    <w:rsid w:val="00537676"/>
    <w:rsid w:val="0054374E"/>
    <w:rsid w:val="00543D29"/>
    <w:rsid w:val="00557A7E"/>
    <w:rsid w:val="005603EC"/>
    <w:rsid w:val="00565A73"/>
    <w:rsid w:val="0057040E"/>
    <w:rsid w:val="00570738"/>
    <w:rsid w:val="005713C0"/>
    <w:rsid w:val="0057269D"/>
    <w:rsid w:val="00573721"/>
    <w:rsid w:val="005757CE"/>
    <w:rsid w:val="00577F81"/>
    <w:rsid w:val="00582BD9"/>
    <w:rsid w:val="00584FEC"/>
    <w:rsid w:val="005907FC"/>
    <w:rsid w:val="0059309D"/>
    <w:rsid w:val="005A033F"/>
    <w:rsid w:val="005A21B2"/>
    <w:rsid w:val="005A6B30"/>
    <w:rsid w:val="005B08B0"/>
    <w:rsid w:val="005B68A7"/>
    <w:rsid w:val="005C4989"/>
    <w:rsid w:val="005D1678"/>
    <w:rsid w:val="005D33BD"/>
    <w:rsid w:val="005D45C6"/>
    <w:rsid w:val="005D4CE2"/>
    <w:rsid w:val="005E3908"/>
    <w:rsid w:val="005E40C5"/>
    <w:rsid w:val="005E62FF"/>
    <w:rsid w:val="005E6786"/>
    <w:rsid w:val="005F7445"/>
    <w:rsid w:val="00605536"/>
    <w:rsid w:val="00606220"/>
    <w:rsid w:val="00607152"/>
    <w:rsid w:val="0060760B"/>
    <w:rsid w:val="00610821"/>
    <w:rsid w:val="00610892"/>
    <w:rsid w:val="006135E1"/>
    <w:rsid w:val="006204A1"/>
    <w:rsid w:val="006213D4"/>
    <w:rsid w:val="00623965"/>
    <w:rsid w:val="0062575B"/>
    <w:rsid w:val="00635FB0"/>
    <w:rsid w:val="00640704"/>
    <w:rsid w:val="00640F05"/>
    <w:rsid w:val="0064170B"/>
    <w:rsid w:val="0064306A"/>
    <w:rsid w:val="0064352F"/>
    <w:rsid w:val="00643B15"/>
    <w:rsid w:val="006446FC"/>
    <w:rsid w:val="00645DE5"/>
    <w:rsid w:val="00652161"/>
    <w:rsid w:val="0065260C"/>
    <w:rsid w:val="00655FE6"/>
    <w:rsid w:val="00657D74"/>
    <w:rsid w:val="00665507"/>
    <w:rsid w:val="00671CD4"/>
    <w:rsid w:val="00671D36"/>
    <w:rsid w:val="00672CC4"/>
    <w:rsid w:val="0067594C"/>
    <w:rsid w:val="00680FF3"/>
    <w:rsid w:val="00684134"/>
    <w:rsid w:val="00684E7A"/>
    <w:rsid w:val="00685FF6"/>
    <w:rsid w:val="00692B81"/>
    <w:rsid w:val="0069441A"/>
    <w:rsid w:val="006948D8"/>
    <w:rsid w:val="0069529A"/>
    <w:rsid w:val="006A04FF"/>
    <w:rsid w:val="006A4D14"/>
    <w:rsid w:val="006A6B24"/>
    <w:rsid w:val="006A6F7B"/>
    <w:rsid w:val="006B236A"/>
    <w:rsid w:val="006B383C"/>
    <w:rsid w:val="006B41A9"/>
    <w:rsid w:val="006B44CC"/>
    <w:rsid w:val="006B47E3"/>
    <w:rsid w:val="006B5150"/>
    <w:rsid w:val="006C16E4"/>
    <w:rsid w:val="006C3356"/>
    <w:rsid w:val="006C4110"/>
    <w:rsid w:val="006D1644"/>
    <w:rsid w:val="006D2827"/>
    <w:rsid w:val="006D69E6"/>
    <w:rsid w:val="006D701B"/>
    <w:rsid w:val="006D7444"/>
    <w:rsid w:val="006D7BAF"/>
    <w:rsid w:val="006F206F"/>
    <w:rsid w:val="006F53AC"/>
    <w:rsid w:val="006F644A"/>
    <w:rsid w:val="00711D36"/>
    <w:rsid w:val="0071451E"/>
    <w:rsid w:val="00720980"/>
    <w:rsid w:val="00721555"/>
    <w:rsid w:val="00721CF7"/>
    <w:rsid w:val="00723908"/>
    <w:rsid w:val="007270D0"/>
    <w:rsid w:val="0073011B"/>
    <w:rsid w:val="0073317D"/>
    <w:rsid w:val="007345B3"/>
    <w:rsid w:val="0073605E"/>
    <w:rsid w:val="00736210"/>
    <w:rsid w:val="00740A96"/>
    <w:rsid w:val="0074172B"/>
    <w:rsid w:val="0074178C"/>
    <w:rsid w:val="007438F0"/>
    <w:rsid w:val="00744B8A"/>
    <w:rsid w:val="007508A2"/>
    <w:rsid w:val="00751802"/>
    <w:rsid w:val="007544BF"/>
    <w:rsid w:val="007558E9"/>
    <w:rsid w:val="00755CEE"/>
    <w:rsid w:val="007600AB"/>
    <w:rsid w:val="007619C6"/>
    <w:rsid w:val="00762791"/>
    <w:rsid w:val="007678F9"/>
    <w:rsid w:val="0077167A"/>
    <w:rsid w:val="0077301E"/>
    <w:rsid w:val="00773F23"/>
    <w:rsid w:val="00777B6F"/>
    <w:rsid w:val="00786937"/>
    <w:rsid w:val="00791464"/>
    <w:rsid w:val="00793E3F"/>
    <w:rsid w:val="007A0696"/>
    <w:rsid w:val="007A1031"/>
    <w:rsid w:val="007A3930"/>
    <w:rsid w:val="007A4617"/>
    <w:rsid w:val="007A5075"/>
    <w:rsid w:val="007A52C1"/>
    <w:rsid w:val="007B6A3D"/>
    <w:rsid w:val="007C07FD"/>
    <w:rsid w:val="007C27BF"/>
    <w:rsid w:val="007C55A5"/>
    <w:rsid w:val="007C6B6E"/>
    <w:rsid w:val="007C76A0"/>
    <w:rsid w:val="007D45D1"/>
    <w:rsid w:val="007E0DAE"/>
    <w:rsid w:val="007E3B2D"/>
    <w:rsid w:val="007E7B5A"/>
    <w:rsid w:val="00800AF8"/>
    <w:rsid w:val="00807383"/>
    <w:rsid w:val="008109DA"/>
    <w:rsid w:val="00811B2E"/>
    <w:rsid w:val="008137BB"/>
    <w:rsid w:val="00813FCB"/>
    <w:rsid w:val="008163BF"/>
    <w:rsid w:val="00820387"/>
    <w:rsid w:val="00831ABF"/>
    <w:rsid w:val="00831EDD"/>
    <w:rsid w:val="00842A42"/>
    <w:rsid w:val="00842D70"/>
    <w:rsid w:val="00845C06"/>
    <w:rsid w:val="008469B3"/>
    <w:rsid w:val="008478C2"/>
    <w:rsid w:val="00851116"/>
    <w:rsid w:val="00854184"/>
    <w:rsid w:val="00854659"/>
    <w:rsid w:val="008551F6"/>
    <w:rsid w:val="0085651C"/>
    <w:rsid w:val="00856E95"/>
    <w:rsid w:val="00860D1F"/>
    <w:rsid w:val="00863059"/>
    <w:rsid w:val="00865046"/>
    <w:rsid w:val="00865811"/>
    <w:rsid w:val="00865FAF"/>
    <w:rsid w:val="00866884"/>
    <w:rsid w:val="00866919"/>
    <w:rsid w:val="008712BB"/>
    <w:rsid w:val="00872FE3"/>
    <w:rsid w:val="00875794"/>
    <w:rsid w:val="00875F40"/>
    <w:rsid w:val="0088083F"/>
    <w:rsid w:val="008901E2"/>
    <w:rsid w:val="00894B84"/>
    <w:rsid w:val="00897CC1"/>
    <w:rsid w:val="008A16E3"/>
    <w:rsid w:val="008A45A6"/>
    <w:rsid w:val="008A510C"/>
    <w:rsid w:val="008A56B4"/>
    <w:rsid w:val="008B295E"/>
    <w:rsid w:val="008B4763"/>
    <w:rsid w:val="008B5AA6"/>
    <w:rsid w:val="008C2B36"/>
    <w:rsid w:val="008C6A83"/>
    <w:rsid w:val="008D5F14"/>
    <w:rsid w:val="008E19DD"/>
    <w:rsid w:val="008E4218"/>
    <w:rsid w:val="008E5FFA"/>
    <w:rsid w:val="008E696F"/>
    <w:rsid w:val="008F39CA"/>
    <w:rsid w:val="008F4610"/>
    <w:rsid w:val="008F5C77"/>
    <w:rsid w:val="00904138"/>
    <w:rsid w:val="009043DC"/>
    <w:rsid w:val="009052A8"/>
    <w:rsid w:val="009071A0"/>
    <w:rsid w:val="009162CE"/>
    <w:rsid w:val="009209C2"/>
    <w:rsid w:val="00925944"/>
    <w:rsid w:val="0094096A"/>
    <w:rsid w:val="0094339C"/>
    <w:rsid w:val="00944E23"/>
    <w:rsid w:val="00945755"/>
    <w:rsid w:val="00953D87"/>
    <w:rsid w:val="00953D94"/>
    <w:rsid w:val="0095677E"/>
    <w:rsid w:val="009567CD"/>
    <w:rsid w:val="009628A2"/>
    <w:rsid w:val="00965BFC"/>
    <w:rsid w:val="00974747"/>
    <w:rsid w:val="009766DB"/>
    <w:rsid w:val="00976E42"/>
    <w:rsid w:val="00982272"/>
    <w:rsid w:val="00982F1D"/>
    <w:rsid w:val="00985E1C"/>
    <w:rsid w:val="009873B0"/>
    <w:rsid w:val="00991463"/>
    <w:rsid w:val="009958B7"/>
    <w:rsid w:val="009963FE"/>
    <w:rsid w:val="00997A8B"/>
    <w:rsid w:val="009A0087"/>
    <w:rsid w:val="009A5686"/>
    <w:rsid w:val="009A7A9B"/>
    <w:rsid w:val="009B29A7"/>
    <w:rsid w:val="009B3080"/>
    <w:rsid w:val="009C3365"/>
    <w:rsid w:val="009C56FD"/>
    <w:rsid w:val="009D07E5"/>
    <w:rsid w:val="009D1B2D"/>
    <w:rsid w:val="009D4918"/>
    <w:rsid w:val="009D5712"/>
    <w:rsid w:val="009D74A2"/>
    <w:rsid w:val="009E41F9"/>
    <w:rsid w:val="009E55AA"/>
    <w:rsid w:val="009E6163"/>
    <w:rsid w:val="009E6557"/>
    <w:rsid w:val="009F1370"/>
    <w:rsid w:val="009F5B2C"/>
    <w:rsid w:val="00A011B8"/>
    <w:rsid w:val="00A04A17"/>
    <w:rsid w:val="00A05102"/>
    <w:rsid w:val="00A06B29"/>
    <w:rsid w:val="00A07909"/>
    <w:rsid w:val="00A118AA"/>
    <w:rsid w:val="00A136EC"/>
    <w:rsid w:val="00A1404D"/>
    <w:rsid w:val="00A17F46"/>
    <w:rsid w:val="00A27D5C"/>
    <w:rsid w:val="00A31CDD"/>
    <w:rsid w:val="00A34D31"/>
    <w:rsid w:val="00A36FE4"/>
    <w:rsid w:val="00A4354E"/>
    <w:rsid w:val="00A439B4"/>
    <w:rsid w:val="00A44570"/>
    <w:rsid w:val="00A45E74"/>
    <w:rsid w:val="00A472C8"/>
    <w:rsid w:val="00A5484D"/>
    <w:rsid w:val="00A55AD3"/>
    <w:rsid w:val="00A60E28"/>
    <w:rsid w:val="00A62860"/>
    <w:rsid w:val="00A64F57"/>
    <w:rsid w:val="00A670D8"/>
    <w:rsid w:val="00A729B5"/>
    <w:rsid w:val="00A72E82"/>
    <w:rsid w:val="00A74852"/>
    <w:rsid w:val="00A7652C"/>
    <w:rsid w:val="00A77154"/>
    <w:rsid w:val="00A77853"/>
    <w:rsid w:val="00A84D28"/>
    <w:rsid w:val="00A90E12"/>
    <w:rsid w:val="00A91EA6"/>
    <w:rsid w:val="00A92EB9"/>
    <w:rsid w:val="00A977D7"/>
    <w:rsid w:val="00A97E7D"/>
    <w:rsid w:val="00AA10B6"/>
    <w:rsid w:val="00AA3C65"/>
    <w:rsid w:val="00AA47D4"/>
    <w:rsid w:val="00AA652C"/>
    <w:rsid w:val="00AA7CEA"/>
    <w:rsid w:val="00AB3065"/>
    <w:rsid w:val="00AB61AA"/>
    <w:rsid w:val="00AC29D0"/>
    <w:rsid w:val="00AC2F0A"/>
    <w:rsid w:val="00AD131D"/>
    <w:rsid w:val="00AD309E"/>
    <w:rsid w:val="00AD36CB"/>
    <w:rsid w:val="00AD7927"/>
    <w:rsid w:val="00AE3E90"/>
    <w:rsid w:val="00AE45DE"/>
    <w:rsid w:val="00AE61E5"/>
    <w:rsid w:val="00AE656A"/>
    <w:rsid w:val="00AF6A0C"/>
    <w:rsid w:val="00AF78EB"/>
    <w:rsid w:val="00B02376"/>
    <w:rsid w:val="00B0574F"/>
    <w:rsid w:val="00B166C5"/>
    <w:rsid w:val="00B205B1"/>
    <w:rsid w:val="00B23F3B"/>
    <w:rsid w:val="00B323DC"/>
    <w:rsid w:val="00B45696"/>
    <w:rsid w:val="00B45AF7"/>
    <w:rsid w:val="00B45B74"/>
    <w:rsid w:val="00B50147"/>
    <w:rsid w:val="00B52588"/>
    <w:rsid w:val="00B70753"/>
    <w:rsid w:val="00B7325E"/>
    <w:rsid w:val="00B73DC1"/>
    <w:rsid w:val="00B75719"/>
    <w:rsid w:val="00B8039A"/>
    <w:rsid w:val="00B823A3"/>
    <w:rsid w:val="00B9590A"/>
    <w:rsid w:val="00BA0440"/>
    <w:rsid w:val="00BA09A9"/>
    <w:rsid w:val="00BA1486"/>
    <w:rsid w:val="00BA23CE"/>
    <w:rsid w:val="00BA5EB8"/>
    <w:rsid w:val="00BA74CD"/>
    <w:rsid w:val="00BB45BB"/>
    <w:rsid w:val="00BB6DA5"/>
    <w:rsid w:val="00BB79B7"/>
    <w:rsid w:val="00BC2B30"/>
    <w:rsid w:val="00BC34B7"/>
    <w:rsid w:val="00BC57DB"/>
    <w:rsid w:val="00BC7B07"/>
    <w:rsid w:val="00BD4187"/>
    <w:rsid w:val="00BD52B4"/>
    <w:rsid w:val="00BD7988"/>
    <w:rsid w:val="00BE3425"/>
    <w:rsid w:val="00BE6421"/>
    <w:rsid w:val="00BE6E63"/>
    <w:rsid w:val="00BF03E2"/>
    <w:rsid w:val="00BF3428"/>
    <w:rsid w:val="00BF43FE"/>
    <w:rsid w:val="00BF7F4B"/>
    <w:rsid w:val="00C05864"/>
    <w:rsid w:val="00C16F36"/>
    <w:rsid w:val="00C178D4"/>
    <w:rsid w:val="00C224C5"/>
    <w:rsid w:val="00C24EFF"/>
    <w:rsid w:val="00C27AC2"/>
    <w:rsid w:val="00C3443E"/>
    <w:rsid w:val="00C351A0"/>
    <w:rsid w:val="00C35E64"/>
    <w:rsid w:val="00C4023B"/>
    <w:rsid w:val="00C42876"/>
    <w:rsid w:val="00C46095"/>
    <w:rsid w:val="00C50A28"/>
    <w:rsid w:val="00C56971"/>
    <w:rsid w:val="00C62024"/>
    <w:rsid w:val="00C63307"/>
    <w:rsid w:val="00C74F37"/>
    <w:rsid w:val="00C76F91"/>
    <w:rsid w:val="00C8078B"/>
    <w:rsid w:val="00C81320"/>
    <w:rsid w:val="00C818F6"/>
    <w:rsid w:val="00C85923"/>
    <w:rsid w:val="00C93449"/>
    <w:rsid w:val="00C9599B"/>
    <w:rsid w:val="00CA53B6"/>
    <w:rsid w:val="00CA697A"/>
    <w:rsid w:val="00CB1E2E"/>
    <w:rsid w:val="00CB250C"/>
    <w:rsid w:val="00CB3BBA"/>
    <w:rsid w:val="00CB459E"/>
    <w:rsid w:val="00CB731A"/>
    <w:rsid w:val="00CC295B"/>
    <w:rsid w:val="00CC503E"/>
    <w:rsid w:val="00CC5B62"/>
    <w:rsid w:val="00CC636D"/>
    <w:rsid w:val="00CD25BC"/>
    <w:rsid w:val="00CD7ECE"/>
    <w:rsid w:val="00CE356B"/>
    <w:rsid w:val="00CE3622"/>
    <w:rsid w:val="00CE5F48"/>
    <w:rsid w:val="00CF022E"/>
    <w:rsid w:val="00CF50F4"/>
    <w:rsid w:val="00CF7748"/>
    <w:rsid w:val="00CF7EBE"/>
    <w:rsid w:val="00D0401A"/>
    <w:rsid w:val="00D04F92"/>
    <w:rsid w:val="00D0558A"/>
    <w:rsid w:val="00D05706"/>
    <w:rsid w:val="00D068B0"/>
    <w:rsid w:val="00D12200"/>
    <w:rsid w:val="00D12418"/>
    <w:rsid w:val="00D136E8"/>
    <w:rsid w:val="00D14A89"/>
    <w:rsid w:val="00D17E68"/>
    <w:rsid w:val="00D21CAB"/>
    <w:rsid w:val="00D23B64"/>
    <w:rsid w:val="00D24FB2"/>
    <w:rsid w:val="00D2631C"/>
    <w:rsid w:val="00D30975"/>
    <w:rsid w:val="00D35894"/>
    <w:rsid w:val="00D4006E"/>
    <w:rsid w:val="00D43503"/>
    <w:rsid w:val="00D46DF9"/>
    <w:rsid w:val="00D50114"/>
    <w:rsid w:val="00D577F9"/>
    <w:rsid w:val="00D61D2F"/>
    <w:rsid w:val="00D6223F"/>
    <w:rsid w:val="00D6310A"/>
    <w:rsid w:val="00D63651"/>
    <w:rsid w:val="00D67346"/>
    <w:rsid w:val="00D70BA3"/>
    <w:rsid w:val="00D716CE"/>
    <w:rsid w:val="00D730BB"/>
    <w:rsid w:val="00D740F1"/>
    <w:rsid w:val="00D74939"/>
    <w:rsid w:val="00D778F6"/>
    <w:rsid w:val="00D80916"/>
    <w:rsid w:val="00D80BF5"/>
    <w:rsid w:val="00D828F4"/>
    <w:rsid w:val="00D85507"/>
    <w:rsid w:val="00D93CDE"/>
    <w:rsid w:val="00DA2557"/>
    <w:rsid w:val="00DA75F3"/>
    <w:rsid w:val="00DB1C84"/>
    <w:rsid w:val="00DB277B"/>
    <w:rsid w:val="00DB5F83"/>
    <w:rsid w:val="00DC00D5"/>
    <w:rsid w:val="00DC033C"/>
    <w:rsid w:val="00DC1827"/>
    <w:rsid w:val="00DC5E38"/>
    <w:rsid w:val="00DD13EE"/>
    <w:rsid w:val="00DD5868"/>
    <w:rsid w:val="00DD68AF"/>
    <w:rsid w:val="00DE1C4E"/>
    <w:rsid w:val="00DE2F29"/>
    <w:rsid w:val="00DE7BA5"/>
    <w:rsid w:val="00DF10DC"/>
    <w:rsid w:val="00DF1CF9"/>
    <w:rsid w:val="00DF23E2"/>
    <w:rsid w:val="00DF64C9"/>
    <w:rsid w:val="00DF7680"/>
    <w:rsid w:val="00E05ECC"/>
    <w:rsid w:val="00E13DA7"/>
    <w:rsid w:val="00E14C88"/>
    <w:rsid w:val="00E16D66"/>
    <w:rsid w:val="00E203D2"/>
    <w:rsid w:val="00E22FEA"/>
    <w:rsid w:val="00E2618D"/>
    <w:rsid w:val="00E26B9B"/>
    <w:rsid w:val="00E27304"/>
    <w:rsid w:val="00E3479B"/>
    <w:rsid w:val="00E34840"/>
    <w:rsid w:val="00E3623B"/>
    <w:rsid w:val="00E365DF"/>
    <w:rsid w:val="00E37AC3"/>
    <w:rsid w:val="00E37BEA"/>
    <w:rsid w:val="00E37D06"/>
    <w:rsid w:val="00E41DBA"/>
    <w:rsid w:val="00E432D3"/>
    <w:rsid w:val="00E43BA6"/>
    <w:rsid w:val="00E555CE"/>
    <w:rsid w:val="00E55E9E"/>
    <w:rsid w:val="00E6318D"/>
    <w:rsid w:val="00E63C89"/>
    <w:rsid w:val="00E66EA7"/>
    <w:rsid w:val="00E704B8"/>
    <w:rsid w:val="00E7101D"/>
    <w:rsid w:val="00E7203D"/>
    <w:rsid w:val="00E756BA"/>
    <w:rsid w:val="00E837F2"/>
    <w:rsid w:val="00E83929"/>
    <w:rsid w:val="00E84E8E"/>
    <w:rsid w:val="00E90AF1"/>
    <w:rsid w:val="00E9452B"/>
    <w:rsid w:val="00E94C4F"/>
    <w:rsid w:val="00E9574C"/>
    <w:rsid w:val="00E96937"/>
    <w:rsid w:val="00E96CF8"/>
    <w:rsid w:val="00EA0069"/>
    <w:rsid w:val="00EA0DA8"/>
    <w:rsid w:val="00EA32C5"/>
    <w:rsid w:val="00EB006A"/>
    <w:rsid w:val="00EB23BD"/>
    <w:rsid w:val="00EB25F6"/>
    <w:rsid w:val="00EB2677"/>
    <w:rsid w:val="00EB635C"/>
    <w:rsid w:val="00EC08B8"/>
    <w:rsid w:val="00EC603B"/>
    <w:rsid w:val="00EC73BD"/>
    <w:rsid w:val="00ED2FF9"/>
    <w:rsid w:val="00EE0B7C"/>
    <w:rsid w:val="00EF1A77"/>
    <w:rsid w:val="00EF2218"/>
    <w:rsid w:val="00F01963"/>
    <w:rsid w:val="00F03E86"/>
    <w:rsid w:val="00F05422"/>
    <w:rsid w:val="00F07AD2"/>
    <w:rsid w:val="00F12571"/>
    <w:rsid w:val="00F1271D"/>
    <w:rsid w:val="00F128B6"/>
    <w:rsid w:val="00F17F32"/>
    <w:rsid w:val="00F21FF7"/>
    <w:rsid w:val="00F27D3A"/>
    <w:rsid w:val="00F34172"/>
    <w:rsid w:val="00F35BAF"/>
    <w:rsid w:val="00F36BE3"/>
    <w:rsid w:val="00F40B4A"/>
    <w:rsid w:val="00F40F50"/>
    <w:rsid w:val="00F4546E"/>
    <w:rsid w:val="00F50168"/>
    <w:rsid w:val="00F5039D"/>
    <w:rsid w:val="00F52040"/>
    <w:rsid w:val="00F54AD1"/>
    <w:rsid w:val="00F57CA1"/>
    <w:rsid w:val="00F63EC5"/>
    <w:rsid w:val="00F70992"/>
    <w:rsid w:val="00F73428"/>
    <w:rsid w:val="00F744B3"/>
    <w:rsid w:val="00F76E9A"/>
    <w:rsid w:val="00F8435C"/>
    <w:rsid w:val="00F86034"/>
    <w:rsid w:val="00F8714A"/>
    <w:rsid w:val="00F91A36"/>
    <w:rsid w:val="00FA0E84"/>
    <w:rsid w:val="00FB0555"/>
    <w:rsid w:val="00FB3671"/>
    <w:rsid w:val="00FB3A68"/>
    <w:rsid w:val="00FC028C"/>
    <w:rsid w:val="00FC0629"/>
    <w:rsid w:val="00FC26D3"/>
    <w:rsid w:val="00FC4CD0"/>
    <w:rsid w:val="00FC4D56"/>
    <w:rsid w:val="00FC502B"/>
    <w:rsid w:val="00FC729C"/>
    <w:rsid w:val="00FD1A34"/>
    <w:rsid w:val="00FD3A07"/>
    <w:rsid w:val="00FE05C1"/>
    <w:rsid w:val="00FE1764"/>
    <w:rsid w:val="00FE5F13"/>
    <w:rsid w:val="00FE7A3C"/>
    <w:rsid w:val="00FF0248"/>
    <w:rsid w:val="00FF0C17"/>
    <w:rsid w:val="00FF211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80F22-50A7-4200-8DEB-DA766EF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00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A0069"/>
    <w:rPr>
      <w:i/>
      <w:iCs/>
    </w:rPr>
  </w:style>
  <w:style w:type="paragraph" w:styleId="ListParagraph">
    <w:name w:val="List Paragraph"/>
    <w:basedOn w:val="Normal"/>
    <w:uiPriority w:val="34"/>
    <w:qFormat/>
    <w:rsid w:val="00EA0069"/>
    <w:pPr>
      <w:ind w:left="720"/>
      <w:contextualSpacing/>
    </w:pPr>
  </w:style>
  <w:style w:type="character" w:customStyle="1" w:styleId="Heading1Char">
    <w:name w:val="Heading 1 Char"/>
    <w:basedOn w:val="DefaultParagraphFont"/>
    <w:link w:val="Heading1"/>
    <w:uiPriority w:val="9"/>
    <w:rsid w:val="00EA00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0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069"/>
    <w:rPr>
      <w:color w:val="0000FF"/>
      <w:u w:val="single"/>
    </w:rPr>
  </w:style>
  <w:style w:type="character" w:customStyle="1" w:styleId="journaltitle">
    <w:name w:val="journaltitle"/>
    <w:basedOn w:val="DefaultParagraphFont"/>
    <w:rsid w:val="00EA0069"/>
  </w:style>
  <w:style w:type="character" w:customStyle="1" w:styleId="articlecitationyear">
    <w:name w:val="articlecitation_year"/>
    <w:basedOn w:val="DefaultParagraphFont"/>
    <w:rsid w:val="00EA0069"/>
  </w:style>
  <w:style w:type="character" w:customStyle="1" w:styleId="apple-converted-space">
    <w:name w:val="apple-converted-space"/>
    <w:basedOn w:val="DefaultParagraphFont"/>
    <w:rsid w:val="00EA0069"/>
  </w:style>
  <w:style w:type="character" w:customStyle="1" w:styleId="articlecitationvolume">
    <w:name w:val="articlecitation_volume"/>
    <w:basedOn w:val="DefaultParagraphFont"/>
    <w:rsid w:val="00EA0069"/>
  </w:style>
  <w:style w:type="character" w:customStyle="1" w:styleId="articlecitationpages">
    <w:name w:val="articlecitation_pages"/>
    <w:basedOn w:val="DefaultParagraphFont"/>
    <w:rsid w:val="00EA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5992">
      <w:bodyDiv w:val="1"/>
      <w:marLeft w:val="0"/>
      <w:marRight w:val="0"/>
      <w:marTop w:val="0"/>
      <w:marBottom w:val="0"/>
      <w:divBdr>
        <w:top w:val="none" w:sz="0" w:space="0" w:color="auto"/>
        <w:left w:val="none" w:sz="0" w:space="0" w:color="auto"/>
        <w:bottom w:val="none" w:sz="0" w:space="0" w:color="auto"/>
        <w:right w:val="none" w:sz="0" w:space="0" w:color="auto"/>
      </w:divBdr>
      <w:divsChild>
        <w:div w:id="1332681324">
          <w:marLeft w:val="0"/>
          <w:marRight w:val="0"/>
          <w:marTop w:val="0"/>
          <w:marBottom w:val="0"/>
          <w:divBdr>
            <w:top w:val="none" w:sz="0" w:space="0" w:color="auto"/>
            <w:left w:val="none" w:sz="0" w:space="0" w:color="auto"/>
            <w:bottom w:val="none" w:sz="0" w:space="0" w:color="auto"/>
            <w:right w:val="none" w:sz="0" w:space="0" w:color="auto"/>
          </w:divBdr>
        </w:div>
        <w:div w:id="617024798">
          <w:marLeft w:val="0"/>
          <w:marRight w:val="0"/>
          <w:marTop w:val="0"/>
          <w:marBottom w:val="0"/>
          <w:divBdr>
            <w:top w:val="none" w:sz="0" w:space="0" w:color="auto"/>
            <w:left w:val="none" w:sz="0" w:space="0" w:color="auto"/>
            <w:bottom w:val="none" w:sz="0" w:space="0" w:color="auto"/>
            <w:right w:val="none" w:sz="0" w:space="0" w:color="auto"/>
          </w:divBdr>
        </w:div>
        <w:div w:id="1390305781">
          <w:marLeft w:val="0"/>
          <w:marRight w:val="0"/>
          <w:marTop w:val="0"/>
          <w:marBottom w:val="0"/>
          <w:divBdr>
            <w:top w:val="none" w:sz="0" w:space="0" w:color="auto"/>
            <w:left w:val="none" w:sz="0" w:space="0" w:color="auto"/>
            <w:bottom w:val="none" w:sz="0" w:space="0" w:color="auto"/>
            <w:right w:val="none" w:sz="0" w:space="0" w:color="auto"/>
          </w:divBdr>
        </w:div>
      </w:divsChild>
    </w:div>
    <w:div w:id="483477200">
      <w:bodyDiv w:val="1"/>
      <w:marLeft w:val="0"/>
      <w:marRight w:val="0"/>
      <w:marTop w:val="0"/>
      <w:marBottom w:val="0"/>
      <w:divBdr>
        <w:top w:val="none" w:sz="0" w:space="0" w:color="auto"/>
        <w:left w:val="none" w:sz="0" w:space="0" w:color="auto"/>
        <w:bottom w:val="none" w:sz="0" w:space="0" w:color="auto"/>
        <w:right w:val="none" w:sz="0" w:space="0" w:color="auto"/>
      </w:divBdr>
    </w:div>
    <w:div w:id="883759424">
      <w:bodyDiv w:val="1"/>
      <w:marLeft w:val="0"/>
      <w:marRight w:val="0"/>
      <w:marTop w:val="0"/>
      <w:marBottom w:val="0"/>
      <w:divBdr>
        <w:top w:val="none" w:sz="0" w:space="0" w:color="auto"/>
        <w:left w:val="none" w:sz="0" w:space="0" w:color="auto"/>
        <w:bottom w:val="none" w:sz="0" w:space="0" w:color="auto"/>
        <w:right w:val="none" w:sz="0" w:space="0" w:color="auto"/>
      </w:divBdr>
    </w:div>
    <w:div w:id="1379664429">
      <w:bodyDiv w:val="1"/>
      <w:marLeft w:val="0"/>
      <w:marRight w:val="0"/>
      <w:marTop w:val="0"/>
      <w:marBottom w:val="0"/>
      <w:divBdr>
        <w:top w:val="none" w:sz="0" w:space="0" w:color="auto"/>
        <w:left w:val="none" w:sz="0" w:space="0" w:color="auto"/>
        <w:bottom w:val="none" w:sz="0" w:space="0" w:color="auto"/>
        <w:right w:val="none" w:sz="0" w:space="0" w:color="auto"/>
      </w:divBdr>
    </w:div>
    <w:div w:id="18322591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432">
          <w:marLeft w:val="0"/>
          <w:marRight w:val="0"/>
          <w:marTop w:val="0"/>
          <w:marBottom w:val="0"/>
          <w:divBdr>
            <w:top w:val="none" w:sz="0" w:space="0" w:color="auto"/>
            <w:left w:val="none" w:sz="0" w:space="0" w:color="auto"/>
            <w:bottom w:val="none" w:sz="0" w:space="0" w:color="auto"/>
            <w:right w:val="none" w:sz="0" w:space="0" w:color="auto"/>
          </w:divBdr>
        </w:div>
        <w:div w:id="566451721">
          <w:marLeft w:val="0"/>
          <w:marRight w:val="0"/>
          <w:marTop w:val="0"/>
          <w:marBottom w:val="0"/>
          <w:divBdr>
            <w:top w:val="none" w:sz="0" w:space="0" w:color="auto"/>
            <w:left w:val="none" w:sz="0" w:space="0" w:color="auto"/>
            <w:bottom w:val="none" w:sz="0" w:space="0" w:color="auto"/>
            <w:right w:val="none" w:sz="0" w:space="0" w:color="auto"/>
          </w:divBdr>
        </w:div>
        <w:div w:id="448625735">
          <w:marLeft w:val="0"/>
          <w:marRight w:val="0"/>
          <w:marTop w:val="0"/>
          <w:marBottom w:val="0"/>
          <w:divBdr>
            <w:top w:val="none" w:sz="0" w:space="0" w:color="auto"/>
            <w:left w:val="none" w:sz="0" w:space="0" w:color="auto"/>
            <w:bottom w:val="none" w:sz="0" w:space="0" w:color="auto"/>
            <w:right w:val="none" w:sz="0" w:space="0" w:color="auto"/>
          </w:divBdr>
        </w:div>
      </w:divsChild>
    </w:div>
    <w:div w:id="19599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pringer.com/journal/10734/54/6/page/1" TargetMode="External"/><Relationship Id="rId5" Type="http://schemas.openxmlformats.org/officeDocument/2006/relationships/hyperlink" Target="http://link.springer.com/journal/107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Kerrie Kephart</cp:lastModifiedBy>
  <cp:revision>2</cp:revision>
  <dcterms:created xsi:type="dcterms:W3CDTF">2016-05-12T15:44:00Z</dcterms:created>
  <dcterms:modified xsi:type="dcterms:W3CDTF">2016-05-12T15:44:00Z</dcterms:modified>
</cp:coreProperties>
</file>