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955"/>
        <w:gridCol w:w="5395"/>
      </w:tblGrid>
      <w:tr w:rsidR="00491A66" w:rsidRPr="0009512B" w:rsidTr="003B52E6">
        <w:trPr>
          <w:cantSplit/>
          <w:trHeight w:val="504"/>
          <w:tblHeader/>
          <w:jc w:val="center"/>
        </w:trPr>
        <w:tc>
          <w:tcPr>
            <w:tcW w:w="5000" w:type="pct"/>
            <w:gridSpan w:val="2"/>
            <w:tcBorders>
              <w:bottom w:val="single" w:sz="4" w:space="0" w:color="808080" w:themeColor="background1" w:themeShade="80"/>
            </w:tcBorders>
            <w:shd w:val="clear" w:color="auto" w:fill="808080" w:themeFill="background1" w:themeFillShade="80"/>
            <w:vAlign w:val="center"/>
          </w:tcPr>
          <w:p w:rsidR="00491A66" w:rsidRDefault="00BE7939" w:rsidP="00326F1B">
            <w:pPr>
              <w:pStyle w:val="Heading1"/>
              <w:rPr>
                <w:sz w:val="32"/>
              </w:rPr>
            </w:pPr>
            <w:r w:rsidRPr="0009512B">
              <w:rPr>
                <w:sz w:val="32"/>
              </w:rPr>
              <w:t>Faculty Learning Community</w:t>
            </w:r>
            <w:r w:rsidR="00491A66" w:rsidRPr="0009512B">
              <w:rPr>
                <w:sz w:val="32"/>
              </w:rPr>
              <w:t xml:space="preserve"> Application</w:t>
            </w:r>
          </w:p>
          <w:p w:rsidR="0009512B" w:rsidRPr="0009512B" w:rsidRDefault="00D2790D" w:rsidP="0009512B">
            <w:pPr>
              <w:jc w:val="center"/>
              <w:rPr>
                <w:b/>
              </w:rPr>
            </w:pPr>
            <w:r>
              <w:rPr>
                <w:b/>
                <w:color w:val="FFFFFF" w:themeColor="background1"/>
                <w:sz w:val="28"/>
              </w:rPr>
              <w:t>2019</w:t>
            </w:r>
            <w:r w:rsidR="00F6228B">
              <w:rPr>
                <w:b/>
                <w:color w:val="FFFFFF" w:themeColor="background1"/>
                <w:sz w:val="28"/>
              </w:rPr>
              <w:t>-20</w:t>
            </w:r>
          </w:p>
        </w:tc>
      </w:tr>
      <w:tr w:rsidR="00BE7939" w:rsidRPr="0009512B" w:rsidTr="003B52E6">
        <w:trPr>
          <w:cantSplit/>
          <w:trHeight w:val="288"/>
          <w:jc w:val="center"/>
        </w:trPr>
        <w:tc>
          <w:tcPr>
            <w:tcW w:w="5000" w:type="pct"/>
            <w:gridSpan w:val="2"/>
            <w:shd w:val="clear" w:color="auto" w:fill="D9D9D9" w:themeFill="background1" w:themeFillShade="D9"/>
            <w:vAlign w:val="center"/>
          </w:tcPr>
          <w:p w:rsidR="00BE7939" w:rsidRPr="0009512B" w:rsidRDefault="00BE7939" w:rsidP="005314CE">
            <w:pPr>
              <w:pStyle w:val="Heading2"/>
              <w:rPr>
                <w:sz w:val="20"/>
              </w:rPr>
            </w:pPr>
            <w:r w:rsidRPr="0009512B">
              <w:rPr>
                <w:sz w:val="20"/>
              </w:rPr>
              <w:t>Applicant Information</w:t>
            </w:r>
          </w:p>
        </w:tc>
      </w:tr>
      <w:tr w:rsidR="00BE7939" w:rsidRPr="0009512B" w:rsidTr="00D107AF">
        <w:trPr>
          <w:cantSplit/>
          <w:trHeight w:val="576"/>
          <w:jc w:val="center"/>
        </w:trPr>
        <w:tc>
          <w:tcPr>
            <w:tcW w:w="2115" w:type="pct"/>
            <w:shd w:val="clear" w:color="auto" w:fill="auto"/>
            <w:vAlign w:val="center"/>
          </w:tcPr>
          <w:p w:rsidR="00BE7939" w:rsidRPr="0009512B" w:rsidRDefault="00BE7939" w:rsidP="00D107AF">
            <w:pPr>
              <w:rPr>
                <w:sz w:val="20"/>
              </w:rPr>
            </w:pPr>
            <w:r w:rsidRPr="0009512B">
              <w:rPr>
                <w:sz w:val="20"/>
              </w:rPr>
              <w:t>Name:</w:t>
            </w:r>
          </w:p>
        </w:tc>
        <w:tc>
          <w:tcPr>
            <w:tcW w:w="2885" w:type="pct"/>
            <w:vMerge w:val="restart"/>
            <w:shd w:val="clear" w:color="auto" w:fill="auto"/>
          </w:tcPr>
          <w:p w:rsidR="00BE7939" w:rsidRPr="0009512B" w:rsidRDefault="00BE7939" w:rsidP="00C12E38">
            <w:pPr>
              <w:ind w:left="4"/>
              <w:rPr>
                <w:sz w:val="20"/>
              </w:rPr>
            </w:pPr>
            <w:r w:rsidRPr="0009512B">
              <w:rPr>
                <w:sz w:val="20"/>
              </w:rPr>
              <w:t>Status:</w:t>
            </w:r>
            <w:r w:rsidR="00C546FB" w:rsidRPr="0009512B">
              <w:rPr>
                <w:sz w:val="20"/>
              </w:rPr>
              <w:t xml:space="preserve">  </w:t>
            </w:r>
          </w:p>
          <w:p w:rsidR="00BE7939" w:rsidRPr="0009512B" w:rsidRDefault="00BE7939" w:rsidP="00C12E38">
            <w:pPr>
              <w:ind w:left="4"/>
              <w:rPr>
                <w:sz w:val="12"/>
                <w:szCs w:val="8"/>
              </w:rPr>
            </w:pPr>
          </w:p>
          <w:p w:rsidR="00BE7939" w:rsidRPr="0009512B" w:rsidRDefault="00BE7939" w:rsidP="00C12E38">
            <w:pPr>
              <w:tabs>
                <w:tab w:val="left" w:pos="2452"/>
              </w:tabs>
              <w:spacing w:line="360" w:lineRule="auto"/>
              <w:ind w:left="4"/>
              <w:rPr>
                <w:sz w:val="20"/>
              </w:rPr>
            </w:pPr>
            <w:r w:rsidRPr="0009512B">
              <w:rPr>
                <w:sz w:val="20"/>
              </w:rPr>
              <w:t>___ Tenure-track faculty</w:t>
            </w:r>
            <w:r w:rsidR="00C12E38" w:rsidRPr="0009512B">
              <w:rPr>
                <w:sz w:val="20"/>
              </w:rPr>
              <w:t xml:space="preserve"> </w:t>
            </w:r>
            <w:r w:rsidR="0009512B">
              <w:rPr>
                <w:sz w:val="20"/>
              </w:rPr>
              <w:t xml:space="preserve">    </w:t>
            </w:r>
            <w:r w:rsidR="00C12E38" w:rsidRPr="0009512B">
              <w:rPr>
                <w:sz w:val="20"/>
              </w:rPr>
              <w:t xml:space="preserve"> </w:t>
            </w:r>
            <w:r w:rsidR="0009512B">
              <w:rPr>
                <w:sz w:val="20"/>
              </w:rPr>
              <w:t xml:space="preserve">     </w:t>
            </w:r>
            <w:r w:rsidRPr="0009512B">
              <w:rPr>
                <w:sz w:val="20"/>
              </w:rPr>
              <w:t>___ Lecturer/Sr</w:t>
            </w:r>
            <w:r w:rsidR="0009512B">
              <w:rPr>
                <w:sz w:val="20"/>
              </w:rPr>
              <w:t>.</w:t>
            </w:r>
            <w:r w:rsidRPr="0009512B">
              <w:rPr>
                <w:sz w:val="20"/>
              </w:rPr>
              <w:t xml:space="preserve"> Lecturer</w:t>
            </w:r>
          </w:p>
          <w:p w:rsidR="00BE7939" w:rsidRPr="0009512B" w:rsidRDefault="00BE7939" w:rsidP="0009512B">
            <w:pPr>
              <w:tabs>
                <w:tab w:val="left" w:pos="2443"/>
              </w:tabs>
              <w:spacing w:line="360" w:lineRule="auto"/>
              <w:ind w:left="4"/>
              <w:rPr>
                <w:sz w:val="20"/>
              </w:rPr>
            </w:pPr>
            <w:r w:rsidRPr="0009512B">
              <w:rPr>
                <w:sz w:val="20"/>
              </w:rPr>
              <w:t>___ Part-time faculty/Adjunct</w:t>
            </w:r>
            <w:r w:rsidR="00C12E38" w:rsidRPr="0009512B">
              <w:rPr>
                <w:sz w:val="20"/>
              </w:rPr>
              <w:t xml:space="preserve">    </w:t>
            </w:r>
            <w:r w:rsidRPr="0009512B">
              <w:rPr>
                <w:sz w:val="20"/>
              </w:rPr>
              <w:t>___ Staff</w:t>
            </w:r>
          </w:p>
        </w:tc>
      </w:tr>
      <w:tr w:rsidR="00BE7939" w:rsidRPr="0009512B" w:rsidTr="00D107AF">
        <w:trPr>
          <w:cantSplit/>
          <w:trHeight w:val="576"/>
          <w:jc w:val="center"/>
        </w:trPr>
        <w:tc>
          <w:tcPr>
            <w:tcW w:w="2115" w:type="pct"/>
            <w:shd w:val="clear" w:color="auto" w:fill="auto"/>
            <w:vAlign w:val="center"/>
          </w:tcPr>
          <w:p w:rsidR="00BE7939" w:rsidRPr="0009512B" w:rsidRDefault="00BE7939" w:rsidP="00D107AF">
            <w:pPr>
              <w:rPr>
                <w:sz w:val="20"/>
              </w:rPr>
            </w:pPr>
            <w:r w:rsidRPr="0009512B">
              <w:rPr>
                <w:sz w:val="20"/>
              </w:rPr>
              <w:t>Office Phone:</w:t>
            </w:r>
          </w:p>
        </w:tc>
        <w:tc>
          <w:tcPr>
            <w:tcW w:w="2885" w:type="pct"/>
            <w:vMerge/>
            <w:shd w:val="clear" w:color="auto" w:fill="auto"/>
            <w:vAlign w:val="center"/>
          </w:tcPr>
          <w:p w:rsidR="00BE7939" w:rsidRPr="0009512B" w:rsidRDefault="00BE7939" w:rsidP="00326F1B">
            <w:pPr>
              <w:rPr>
                <w:sz w:val="20"/>
              </w:rPr>
            </w:pPr>
          </w:p>
        </w:tc>
      </w:tr>
      <w:tr w:rsidR="00BE7939" w:rsidRPr="0009512B" w:rsidTr="008351D5">
        <w:trPr>
          <w:cantSplit/>
          <w:trHeight w:val="576"/>
          <w:jc w:val="center"/>
        </w:trPr>
        <w:tc>
          <w:tcPr>
            <w:tcW w:w="2115" w:type="pct"/>
            <w:shd w:val="clear" w:color="auto" w:fill="auto"/>
          </w:tcPr>
          <w:p w:rsidR="00045D75" w:rsidRPr="0009512B" w:rsidRDefault="00BE7939" w:rsidP="008351D5">
            <w:pPr>
              <w:rPr>
                <w:sz w:val="20"/>
              </w:rPr>
            </w:pPr>
            <w:r w:rsidRPr="0009512B">
              <w:rPr>
                <w:sz w:val="20"/>
              </w:rPr>
              <w:t>Department:</w:t>
            </w:r>
          </w:p>
        </w:tc>
        <w:tc>
          <w:tcPr>
            <w:tcW w:w="2885" w:type="pct"/>
            <w:shd w:val="clear" w:color="auto" w:fill="auto"/>
          </w:tcPr>
          <w:p w:rsidR="00BE7939" w:rsidRPr="0009512B" w:rsidRDefault="00C12E38" w:rsidP="00C12E38">
            <w:pPr>
              <w:rPr>
                <w:sz w:val="20"/>
              </w:rPr>
            </w:pPr>
            <w:r w:rsidRPr="0009512B">
              <w:rPr>
                <w:sz w:val="20"/>
              </w:rPr>
              <w:t>Course(s) that you teach:</w:t>
            </w:r>
          </w:p>
          <w:p w:rsidR="00045D75" w:rsidRPr="0009512B" w:rsidRDefault="00045D75" w:rsidP="00C12E38">
            <w:pPr>
              <w:rPr>
                <w:sz w:val="20"/>
              </w:rPr>
            </w:pPr>
          </w:p>
          <w:p w:rsidR="00045D75" w:rsidRPr="0009512B" w:rsidRDefault="00045D75" w:rsidP="00C12E38">
            <w:pPr>
              <w:rPr>
                <w:sz w:val="20"/>
              </w:rPr>
            </w:pPr>
          </w:p>
          <w:p w:rsidR="00045D75" w:rsidRPr="0009512B" w:rsidRDefault="00045D75" w:rsidP="00C12E38">
            <w:pPr>
              <w:rPr>
                <w:sz w:val="20"/>
              </w:rPr>
            </w:pPr>
          </w:p>
        </w:tc>
      </w:tr>
      <w:tr w:rsidR="00BE7939" w:rsidRPr="0009512B" w:rsidTr="008351D5">
        <w:trPr>
          <w:cantSplit/>
          <w:trHeight w:val="576"/>
          <w:jc w:val="center"/>
        </w:trPr>
        <w:tc>
          <w:tcPr>
            <w:tcW w:w="2115" w:type="pct"/>
            <w:shd w:val="clear" w:color="auto" w:fill="auto"/>
          </w:tcPr>
          <w:p w:rsidR="00BE7939" w:rsidRPr="0009512B" w:rsidRDefault="00BE7939" w:rsidP="008351D5">
            <w:pPr>
              <w:rPr>
                <w:sz w:val="20"/>
              </w:rPr>
            </w:pPr>
            <w:r w:rsidRPr="0009512B">
              <w:rPr>
                <w:sz w:val="20"/>
              </w:rPr>
              <w:t>Email Address:</w:t>
            </w:r>
          </w:p>
        </w:tc>
        <w:tc>
          <w:tcPr>
            <w:tcW w:w="2885" w:type="pct"/>
            <w:shd w:val="clear" w:color="auto" w:fill="auto"/>
            <w:vAlign w:val="center"/>
          </w:tcPr>
          <w:p w:rsidR="00BE7939" w:rsidRPr="0009512B" w:rsidRDefault="00C12E38" w:rsidP="008351D5">
            <w:pPr>
              <w:rPr>
                <w:sz w:val="20"/>
              </w:rPr>
            </w:pPr>
            <w:r w:rsidRPr="0009512B">
              <w:rPr>
                <w:sz w:val="20"/>
              </w:rPr>
              <w:t>Number of years teaching/working at UMBC: ______</w:t>
            </w:r>
          </w:p>
        </w:tc>
      </w:tr>
      <w:tr w:rsidR="009622B2" w:rsidRPr="0009512B" w:rsidTr="008E5593">
        <w:trPr>
          <w:cantSplit/>
          <w:trHeight w:val="288"/>
          <w:jc w:val="center"/>
        </w:trPr>
        <w:tc>
          <w:tcPr>
            <w:tcW w:w="5000" w:type="pct"/>
            <w:gridSpan w:val="2"/>
            <w:shd w:val="clear" w:color="auto" w:fill="D9D9D9" w:themeFill="background1" w:themeFillShade="D9"/>
          </w:tcPr>
          <w:p w:rsidR="00045D75" w:rsidRPr="0009512B" w:rsidRDefault="00C546FB" w:rsidP="008E5593">
            <w:pPr>
              <w:pStyle w:val="Heading2"/>
              <w:rPr>
                <w:b w:val="0"/>
                <w:caps w:val="0"/>
                <w:sz w:val="20"/>
              </w:rPr>
            </w:pPr>
            <w:r w:rsidRPr="0009512B">
              <w:rPr>
                <w:caps w:val="0"/>
                <w:sz w:val="20"/>
              </w:rPr>
              <w:t>WHICH FLC(s) ARE YOU APPLYING FOR?</w:t>
            </w:r>
          </w:p>
          <w:p w:rsidR="009622B2" w:rsidRPr="0009512B" w:rsidRDefault="008E5593" w:rsidP="00F6228B">
            <w:pPr>
              <w:pStyle w:val="Heading2"/>
              <w:jc w:val="left"/>
              <w:rPr>
                <w:sz w:val="20"/>
              </w:rPr>
            </w:pPr>
            <w:r>
              <w:rPr>
                <w:b w:val="0"/>
                <w:caps w:val="0"/>
                <w:sz w:val="20"/>
              </w:rPr>
              <w:t>Although you may only participate in one FLC, you may c</w:t>
            </w:r>
            <w:r w:rsidR="00C546FB" w:rsidRPr="0009512B">
              <w:rPr>
                <w:b w:val="0"/>
                <w:caps w:val="0"/>
                <w:sz w:val="20"/>
              </w:rPr>
              <w:t xml:space="preserve">hoose </w:t>
            </w:r>
            <w:r w:rsidR="00D2790D">
              <w:rPr>
                <w:b w:val="0"/>
                <w:caps w:val="0"/>
                <w:sz w:val="20"/>
              </w:rPr>
              <w:t>more than one to apply to</w:t>
            </w:r>
            <w:r>
              <w:rPr>
                <w:b w:val="0"/>
                <w:caps w:val="0"/>
                <w:sz w:val="20"/>
              </w:rPr>
              <w:t>, ranking them 1, 2, 3</w:t>
            </w:r>
            <w:r w:rsidR="00D2790D">
              <w:rPr>
                <w:b w:val="0"/>
                <w:caps w:val="0"/>
                <w:sz w:val="20"/>
              </w:rPr>
              <w:t>, 4</w:t>
            </w:r>
            <w:r w:rsidR="00F6228B">
              <w:rPr>
                <w:b w:val="0"/>
                <w:caps w:val="0"/>
                <w:sz w:val="20"/>
              </w:rPr>
              <w:t>, etc.,</w:t>
            </w:r>
            <w:r>
              <w:rPr>
                <w:b w:val="0"/>
                <w:caps w:val="0"/>
                <w:sz w:val="20"/>
              </w:rPr>
              <w:t xml:space="preserve"> below to indicate </w:t>
            </w:r>
            <w:r w:rsidR="00045D75" w:rsidRPr="0009512B">
              <w:rPr>
                <w:b w:val="0"/>
                <w:caps w:val="0"/>
                <w:sz w:val="20"/>
              </w:rPr>
              <w:t xml:space="preserve">your </w:t>
            </w:r>
            <w:r w:rsidR="00D107AF">
              <w:rPr>
                <w:b w:val="0"/>
                <w:caps w:val="0"/>
                <w:sz w:val="20"/>
              </w:rPr>
              <w:t xml:space="preserve">order of </w:t>
            </w:r>
            <w:r w:rsidR="00045D75" w:rsidRPr="0009512B">
              <w:rPr>
                <w:b w:val="0"/>
                <w:caps w:val="0"/>
                <w:sz w:val="20"/>
              </w:rPr>
              <w:t>preference</w:t>
            </w:r>
            <w:r>
              <w:rPr>
                <w:b w:val="0"/>
                <w:caps w:val="0"/>
                <w:sz w:val="20"/>
              </w:rPr>
              <w:t xml:space="preserve">. </w:t>
            </w:r>
            <w:r w:rsidR="004F01D9">
              <w:rPr>
                <w:b w:val="0"/>
                <w:caps w:val="0"/>
                <w:sz w:val="20"/>
              </w:rPr>
              <w:t xml:space="preserve">We will try to accommodate your </w:t>
            </w:r>
            <w:r w:rsidR="004F01D9" w:rsidRPr="00A27F18">
              <w:rPr>
                <w:caps w:val="0"/>
                <w:sz w:val="20"/>
              </w:rPr>
              <w:t>first choice</w:t>
            </w:r>
            <w:r w:rsidR="004F01D9">
              <w:rPr>
                <w:b w:val="0"/>
                <w:caps w:val="0"/>
                <w:sz w:val="20"/>
              </w:rPr>
              <w:t xml:space="preserve">. </w:t>
            </w:r>
            <w:r>
              <w:rPr>
                <w:b w:val="0"/>
                <w:caps w:val="0"/>
                <w:sz w:val="20"/>
              </w:rPr>
              <w:t xml:space="preserve">Descriptions of </w:t>
            </w:r>
            <w:r w:rsidR="00717417">
              <w:rPr>
                <w:b w:val="0"/>
                <w:caps w:val="0"/>
                <w:sz w:val="20"/>
              </w:rPr>
              <w:t>all the proposed</w:t>
            </w:r>
            <w:r>
              <w:rPr>
                <w:b w:val="0"/>
                <w:caps w:val="0"/>
                <w:sz w:val="20"/>
              </w:rPr>
              <w:t xml:space="preserve"> FLC</w:t>
            </w:r>
            <w:r w:rsidR="00717417">
              <w:rPr>
                <w:b w:val="0"/>
                <w:caps w:val="0"/>
                <w:sz w:val="20"/>
              </w:rPr>
              <w:t>s</w:t>
            </w:r>
            <w:r>
              <w:rPr>
                <w:b w:val="0"/>
                <w:caps w:val="0"/>
                <w:sz w:val="20"/>
              </w:rPr>
              <w:t xml:space="preserve"> are </w:t>
            </w:r>
            <w:r w:rsidR="00DE5EA4">
              <w:rPr>
                <w:b w:val="0"/>
                <w:caps w:val="0"/>
                <w:sz w:val="20"/>
              </w:rPr>
              <w:t xml:space="preserve">at the </w:t>
            </w:r>
            <w:r w:rsidR="00D107AF">
              <w:rPr>
                <w:b w:val="0"/>
                <w:caps w:val="0"/>
                <w:sz w:val="20"/>
              </w:rPr>
              <w:t>end of this</w:t>
            </w:r>
            <w:r w:rsidR="00DE5EA4">
              <w:rPr>
                <w:b w:val="0"/>
                <w:caps w:val="0"/>
                <w:sz w:val="20"/>
              </w:rPr>
              <w:t xml:space="preserve"> application</w:t>
            </w:r>
            <w:r w:rsidR="00D107AF">
              <w:rPr>
                <w:b w:val="0"/>
                <w:caps w:val="0"/>
                <w:sz w:val="20"/>
              </w:rPr>
              <w:t xml:space="preserve"> form.</w:t>
            </w:r>
          </w:p>
        </w:tc>
      </w:tr>
      <w:tr w:rsidR="00C546FB" w:rsidRPr="0009512B" w:rsidTr="003B52E6">
        <w:trPr>
          <w:cantSplit/>
          <w:trHeight w:val="1567"/>
          <w:jc w:val="center"/>
        </w:trPr>
        <w:tc>
          <w:tcPr>
            <w:tcW w:w="5000" w:type="pct"/>
            <w:gridSpan w:val="2"/>
            <w:shd w:val="clear" w:color="auto" w:fill="auto"/>
          </w:tcPr>
          <w:p w:rsidR="00827264" w:rsidRPr="00C60AE5" w:rsidRDefault="00D66AF5" w:rsidP="00C60AE5">
            <w:pPr>
              <w:spacing w:before="240"/>
              <w:ind w:left="720" w:hanging="540"/>
              <w:rPr>
                <w:sz w:val="20"/>
              </w:rPr>
            </w:pPr>
            <w:r w:rsidRPr="0009512B">
              <w:rPr>
                <w:sz w:val="20"/>
              </w:rPr>
              <w:t>____</w:t>
            </w:r>
            <w:r w:rsidR="00C60AE5">
              <w:rPr>
                <w:sz w:val="20"/>
              </w:rPr>
              <w:t xml:space="preserve"> </w:t>
            </w:r>
            <w:r w:rsidR="000E3A21" w:rsidRPr="00C60AE5">
              <w:rPr>
                <w:b/>
                <w:bCs/>
                <w:sz w:val="20"/>
              </w:rPr>
              <w:t xml:space="preserve">Contemplative Pedagogies: Mindfulness in the Classroom </w:t>
            </w:r>
            <w:r w:rsidR="000E3A21" w:rsidRPr="00C60AE5">
              <w:rPr>
                <w:bCs/>
                <w:sz w:val="20"/>
              </w:rPr>
              <w:t>(</w:t>
            </w:r>
            <w:r w:rsidR="00967261">
              <w:rPr>
                <w:bCs/>
                <w:sz w:val="20"/>
              </w:rPr>
              <w:t>Proposed</w:t>
            </w:r>
            <w:r w:rsidR="000E3A21" w:rsidRPr="00C60AE5">
              <w:rPr>
                <w:bCs/>
                <w:sz w:val="20"/>
              </w:rPr>
              <w:t xml:space="preserve"> by Janet Gross, English)</w:t>
            </w:r>
          </w:p>
          <w:p w:rsidR="000E3A21" w:rsidRPr="00C60AE5" w:rsidRDefault="00827264" w:rsidP="00C60AE5">
            <w:pPr>
              <w:spacing w:before="120"/>
              <w:ind w:left="720" w:hanging="540"/>
              <w:rPr>
                <w:b/>
                <w:sz w:val="20"/>
              </w:rPr>
            </w:pPr>
            <w:r w:rsidRPr="0009512B">
              <w:rPr>
                <w:sz w:val="20"/>
              </w:rPr>
              <w:t xml:space="preserve">____ </w:t>
            </w:r>
            <w:r w:rsidR="000E3A21" w:rsidRPr="00C60AE5">
              <w:rPr>
                <w:b/>
                <w:bCs/>
                <w:sz w:val="20"/>
              </w:rPr>
              <w:t xml:space="preserve">Creating </w:t>
            </w:r>
            <w:r w:rsidR="00C60AE5" w:rsidRPr="00C60AE5">
              <w:rPr>
                <w:b/>
                <w:bCs/>
                <w:sz w:val="20"/>
              </w:rPr>
              <w:t xml:space="preserve">Authentic, </w:t>
            </w:r>
            <w:r w:rsidR="000E3A21" w:rsidRPr="00C60AE5">
              <w:rPr>
                <w:b/>
                <w:bCs/>
                <w:sz w:val="20"/>
              </w:rPr>
              <w:t xml:space="preserve">Meaningful Course Projects </w:t>
            </w:r>
            <w:r w:rsidR="000E3A21" w:rsidRPr="00C60AE5">
              <w:rPr>
                <w:bCs/>
                <w:sz w:val="20"/>
              </w:rPr>
              <w:t>(</w:t>
            </w:r>
            <w:r w:rsidR="00967261">
              <w:rPr>
                <w:bCs/>
                <w:sz w:val="20"/>
              </w:rPr>
              <w:t>Proposed by</w:t>
            </w:r>
            <w:r w:rsidR="000E3A21" w:rsidRPr="00C60AE5">
              <w:rPr>
                <w:bCs/>
                <w:sz w:val="20"/>
              </w:rPr>
              <w:t xml:space="preserve"> Suzanne Lea, Sociology, Anthropology, and Health Administration and Policy)</w:t>
            </w:r>
          </w:p>
          <w:p w:rsidR="003B52E6" w:rsidRPr="0009512B" w:rsidRDefault="003B52E6" w:rsidP="00C60AE5">
            <w:pPr>
              <w:spacing w:before="120"/>
              <w:ind w:left="720" w:hanging="540"/>
              <w:rPr>
                <w:sz w:val="20"/>
              </w:rPr>
            </w:pPr>
            <w:r w:rsidRPr="0009512B">
              <w:rPr>
                <w:sz w:val="20"/>
              </w:rPr>
              <w:t xml:space="preserve">____ </w:t>
            </w:r>
            <w:r w:rsidR="000E3A21" w:rsidRPr="00C60AE5">
              <w:rPr>
                <w:b/>
                <w:sz w:val="20"/>
              </w:rPr>
              <w:t xml:space="preserve">Less </w:t>
            </w:r>
            <w:r w:rsidR="00C60AE5" w:rsidRPr="00C60AE5">
              <w:rPr>
                <w:b/>
                <w:sz w:val="20"/>
              </w:rPr>
              <w:t>“</w:t>
            </w:r>
            <w:r w:rsidR="000E3A21" w:rsidRPr="00C60AE5">
              <w:rPr>
                <w:b/>
                <w:sz w:val="20"/>
              </w:rPr>
              <w:t>Me,</w:t>
            </w:r>
            <w:r w:rsidR="00C60AE5" w:rsidRPr="00C60AE5">
              <w:rPr>
                <w:b/>
                <w:sz w:val="20"/>
              </w:rPr>
              <w:t>”</w:t>
            </w:r>
            <w:r w:rsidR="000E3A21" w:rsidRPr="00C60AE5">
              <w:rPr>
                <w:b/>
                <w:sz w:val="20"/>
              </w:rPr>
              <w:t xml:space="preserve"> More </w:t>
            </w:r>
            <w:r w:rsidR="00C60AE5" w:rsidRPr="00C60AE5">
              <w:rPr>
                <w:b/>
                <w:sz w:val="20"/>
              </w:rPr>
              <w:t>“</w:t>
            </w:r>
            <w:r w:rsidR="000E3A21" w:rsidRPr="00C60AE5">
              <w:rPr>
                <w:b/>
                <w:sz w:val="20"/>
              </w:rPr>
              <w:t>We</w:t>
            </w:r>
            <w:r w:rsidR="00C60AE5" w:rsidRPr="00C60AE5">
              <w:rPr>
                <w:b/>
                <w:sz w:val="20"/>
              </w:rPr>
              <w:t>”</w:t>
            </w:r>
            <w:r w:rsidR="000E3A21" w:rsidRPr="00C60AE5">
              <w:rPr>
                <w:b/>
                <w:sz w:val="20"/>
              </w:rPr>
              <w:t xml:space="preserve">: Supporting Students to Work and Learn in Teams </w:t>
            </w:r>
            <w:r w:rsidR="000E3A21" w:rsidRPr="00C60AE5">
              <w:rPr>
                <w:sz w:val="20"/>
              </w:rPr>
              <w:t>(</w:t>
            </w:r>
            <w:r w:rsidR="00967261">
              <w:rPr>
                <w:sz w:val="20"/>
              </w:rPr>
              <w:t>Proposed</w:t>
            </w:r>
            <w:r w:rsidR="000E3A21" w:rsidRPr="00C60AE5">
              <w:rPr>
                <w:sz w:val="20"/>
              </w:rPr>
              <w:t xml:space="preserve"> by Simon Stacey, Honors College)</w:t>
            </w:r>
          </w:p>
          <w:p w:rsidR="00F6228B" w:rsidRDefault="00C546FB" w:rsidP="000D51DF">
            <w:pPr>
              <w:spacing w:before="120"/>
              <w:ind w:left="720" w:hanging="540"/>
              <w:rPr>
                <w:sz w:val="20"/>
              </w:rPr>
            </w:pPr>
            <w:r w:rsidRPr="0009512B">
              <w:rPr>
                <w:sz w:val="20"/>
              </w:rPr>
              <w:t xml:space="preserve">____ </w:t>
            </w:r>
            <w:r w:rsidR="00F6228B" w:rsidRPr="00F36C24">
              <w:rPr>
                <w:b/>
                <w:sz w:val="20"/>
              </w:rPr>
              <w:t xml:space="preserve">Radical Vulnerability in the Classroom: Creating </w:t>
            </w:r>
            <w:r w:rsidR="00195F5E">
              <w:rPr>
                <w:b/>
                <w:sz w:val="20"/>
              </w:rPr>
              <w:t xml:space="preserve">Brave </w:t>
            </w:r>
            <w:r w:rsidR="00F6228B" w:rsidRPr="00F36C24">
              <w:rPr>
                <w:b/>
                <w:sz w:val="20"/>
              </w:rPr>
              <w:t>Space</w:t>
            </w:r>
            <w:r w:rsidR="00D14AB7" w:rsidRPr="00F36C24">
              <w:rPr>
                <w:b/>
                <w:sz w:val="20"/>
              </w:rPr>
              <w:t>s</w:t>
            </w:r>
            <w:r w:rsidR="00F6228B" w:rsidRPr="00F36C24">
              <w:rPr>
                <w:b/>
                <w:sz w:val="20"/>
              </w:rPr>
              <w:t xml:space="preserve"> to Engage and Deepen Learning</w:t>
            </w:r>
            <w:r w:rsidR="00BA1F2D" w:rsidRPr="00F36C24">
              <w:rPr>
                <w:b/>
                <w:sz w:val="20"/>
              </w:rPr>
              <w:t xml:space="preserve"> </w:t>
            </w:r>
            <w:r w:rsidR="00BA1F2D" w:rsidRPr="00F36C24">
              <w:rPr>
                <w:sz w:val="20"/>
              </w:rPr>
              <w:t>(</w:t>
            </w:r>
            <w:r w:rsidR="00967261">
              <w:rPr>
                <w:sz w:val="20"/>
              </w:rPr>
              <w:t>Proposed</w:t>
            </w:r>
            <w:r w:rsidR="00F6228B" w:rsidRPr="00F36C24">
              <w:rPr>
                <w:sz w:val="20"/>
              </w:rPr>
              <w:t xml:space="preserve"> by Lauren Hamilton Edwards, School of Public Policy</w:t>
            </w:r>
            <w:r w:rsidR="00BA1F2D" w:rsidRPr="00F36C24">
              <w:rPr>
                <w:sz w:val="20"/>
              </w:rPr>
              <w:t>)</w:t>
            </w:r>
          </w:p>
          <w:p w:rsidR="00C60AE5" w:rsidRPr="0009512B" w:rsidRDefault="00F36C24" w:rsidP="00967261">
            <w:pPr>
              <w:spacing w:before="120" w:after="240"/>
              <w:ind w:left="720" w:hanging="540"/>
              <w:rPr>
                <w:sz w:val="20"/>
              </w:rPr>
            </w:pPr>
            <w:r>
              <w:rPr>
                <w:sz w:val="20"/>
              </w:rPr>
              <w:t xml:space="preserve">____ </w:t>
            </w:r>
            <w:r w:rsidR="006328CC" w:rsidRPr="00F36C24">
              <w:rPr>
                <w:b/>
                <w:sz w:val="20"/>
              </w:rPr>
              <w:t xml:space="preserve">Seeing White: The </w:t>
            </w:r>
            <w:r w:rsidRPr="00F36C24">
              <w:rPr>
                <w:b/>
                <w:sz w:val="20"/>
              </w:rPr>
              <w:t>I</w:t>
            </w:r>
            <w:r w:rsidR="006328CC" w:rsidRPr="00F36C24">
              <w:rPr>
                <w:b/>
                <w:sz w:val="20"/>
              </w:rPr>
              <w:t xml:space="preserve">nfluence of </w:t>
            </w:r>
            <w:r w:rsidRPr="00F36C24">
              <w:rPr>
                <w:b/>
                <w:sz w:val="20"/>
              </w:rPr>
              <w:t>Structural and Institutional R</w:t>
            </w:r>
            <w:r w:rsidR="006328CC" w:rsidRPr="00F36C24">
              <w:rPr>
                <w:b/>
                <w:sz w:val="20"/>
              </w:rPr>
              <w:t xml:space="preserve">acism on </w:t>
            </w:r>
            <w:r>
              <w:rPr>
                <w:b/>
                <w:sz w:val="20"/>
              </w:rPr>
              <w:t xml:space="preserve">Teaching and Learning in </w:t>
            </w:r>
            <w:r w:rsidRPr="00F36C24">
              <w:rPr>
                <w:b/>
                <w:sz w:val="20"/>
              </w:rPr>
              <w:t>H</w:t>
            </w:r>
            <w:r w:rsidR="006328CC" w:rsidRPr="00F36C24">
              <w:rPr>
                <w:b/>
                <w:sz w:val="20"/>
              </w:rPr>
              <w:t xml:space="preserve">igher </w:t>
            </w:r>
            <w:r w:rsidRPr="00F36C24">
              <w:rPr>
                <w:b/>
                <w:sz w:val="20"/>
              </w:rPr>
              <w:t>E</w:t>
            </w:r>
            <w:r w:rsidR="006328CC" w:rsidRPr="00F36C24">
              <w:rPr>
                <w:b/>
                <w:sz w:val="20"/>
              </w:rPr>
              <w:t xml:space="preserve">ducation </w:t>
            </w:r>
            <w:r w:rsidR="006328CC" w:rsidRPr="00F36C24">
              <w:rPr>
                <w:sz w:val="20"/>
              </w:rPr>
              <w:t>(</w:t>
            </w:r>
            <w:r w:rsidR="00967261">
              <w:rPr>
                <w:sz w:val="20"/>
              </w:rPr>
              <w:t>Proposed by</w:t>
            </w:r>
            <w:r w:rsidR="006328CC" w:rsidRPr="00F36C24">
              <w:rPr>
                <w:sz w:val="20"/>
              </w:rPr>
              <w:t xml:space="preserve"> M. Nicole </w:t>
            </w:r>
            <w:proofErr w:type="spellStart"/>
            <w:r w:rsidR="006328CC" w:rsidRPr="00F36C24">
              <w:rPr>
                <w:sz w:val="20"/>
              </w:rPr>
              <w:t>Belfiore</w:t>
            </w:r>
            <w:proofErr w:type="spellEnd"/>
            <w:r w:rsidR="006328CC" w:rsidRPr="00F36C24">
              <w:rPr>
                <w:sz w:val="20"/>
              </w:rPr>
              <w:t>, Social Work)</w:t>
            </w:r>
          </w:p>
        </w:tc>
      </w:tr>
      <w:tr w:rsidR="000077BD" w:rsidRPr="0009512B" w:rsidTr="003B52E6">
        <w:trPr>
          <w:cantSplit/>
          <w:trHeight w:val="288"/>
          <w:jc w:val="center"/>
        </w:trPr>
        <w:tc>
          <w:tcPr>
            <w:tcW w:w="5000" w:type="pct"/>
            <w:gridSpan w:val="2"/>
            <w:shd w:val="clear" w:color="auto" w:fill="D9D9D9" w:themeFill="background1" w:themeFillShade="D9"/>
            <w:vAlign w:val="center"/>
          </w:tcPr>
          <w:p w:rsidR="000077BD" w:rsidRPr="0009512B" w:rsidRDefault="00045D75" w:rsidP="00574303">
            <w:pPr>
              <w:pStyle w:val="Heading2"/>
              <w:rPr>
                <w:sz w:val="20"/>
              </w:rPr>
            </w:pPr>
            <w:r w:rsidRPr="0009512B">
              <w:rPr>
                <w:sz w:val="20"/>
              </w:rPr>
              <w:t>Background &amp; interest</w:t>
            </w:r>
          </w:p>
          <w:p w:rsidR="00045D75" w:rsidRPr="0009512B" w:rsidRDefault="00045D75" w:rsidP="00DE5EA4">
            <w:pPr>
              <w:rPr>
                <w:sz w:val="20"/>
              </w:rPr>
            </w:pPr>
            <w:r w:rsidRPr="0009512B">
              <w:rPr>
                <w:sz w:val="20"/>
              </w:rPr>
              <w:t xml:space="preserve">Please respond to the following questions </w:t>
            </w:r>
            <w:r w:rsidR="00DE5EA4">
              <w:rPr>
                <w:sz w:val="20"/>
              </w:rPr>
              <w:t>in reference</w:t>
            </w:r>
            <w:r w:rsidRPr="0009512B">
              <w:rPr>
                <w:sz w:val="20"/>
              </w:rPr>
              <w:t xml:space="preserve"> to your </w:t>
            </w:r>
            <w:r w:rsidRPr="0071180C">
              <w:rPr>
                <w:b/>
                <w:sz w:val="20"/>
                <w:u w:val="single"/>
              </w:rPr>
              <w:t>first choice</w:t>
            </w:r>
            <w:r w:rsidRPr="0009512B">
              <w:rPr>
                <w:sz w:val="20"/>
              </w:rPr>
              <w:t xml:space="preserve"> of FLCs</w:t>
            </w:r>
            <w:r w:rsidR="00DE5EA4">
              <w:rPr>
                <w:sz w:val="20"/>
              </w:rPr>
              <w:t>.</w:t>
            </w:r>
          </w:p>
        </w:tc>
      </w:tr>
      <w:tr w:rsidR="00F04B9B" w:rsidRPr="0009512B" w:rsidTr="003B52E6">
        <w:trPr>
          <w:cantSplit/>
          <w:trHeight w:val="259"/>
          <w:jc w:val="center"/>
        </w:trPr>
        <w:tc>
          <w:tcPr>
            <w:tcW w:w="5000" w:type="pct"/>
            <w:gridSpan w:val="2"/>
            <w:shd w:val="clear" w:color="auto" w:fill="auto"/>
            <w:vAlign w:val="center"/>
          </w:tcPr>
          <w:p w:rsidR="00F04B9B" w:rsidRPr="0009512B" w:rsidRDefault="00045D75" w:rsidP="00045D75">
            <w:pPr>
              <w:ind w:left="180" w:hanging="180"/>
              <w:rPr>
                <w:sz w:val="20"/>
              </w:rPr>
            </w:pPr>
            <w:r w:rsidRPr="0009512B">
              <w:rPr>
                <w:sz w:val="20"/>
              </w:rPr>
              <w:t>1. Why would you like to participate in this faculty learning community?</w:t>
            </w:r>
          </w:p>
          <w:p w:rsidR="00045D75" w:rsidRDefault="00045D75" w:rsidP="00045D75">
            <w:pPr>
              <w:ind w:left="180" w:hanging="180"/>
              <w:rPr>
                <w:sz w:val="20"/>
              </w:rPr>
            </w:pPr>
          </w:p>
          <w:p w:rsidR="00D107AF" w:rsidRDefault="00D107AF" w:rsidP="00045D75">
            <w:pPr>
              <w:ind w:left="180" w:hanging="180"/>
              <w:rPr>
                <w:sz w:val="20"/>
              </w:rPr>
            </w:pPr>
          </w:p>
          <w:p w:rsidR="00584561" w:rsidRDefault="00584561" w:rsidP="00045D75">
            <w:pPr>
              <w:ind w:left="180" w:hanging="180"/>
              <w:rPr>
                <w:sz w:val="20"/>
              </w:rPr>
            </w:pPr>
          </w:p>
          <w:p w:rsidR="00D107AF" w:rsidRPr="0009512B" w:rsidRDefault="00D107AF" w:rsidP="00045D75">
            <w:pPr>
              <w:ind w:left="180" w:hanging="180"/>
              <w:rPr>
                <w:sz w:val="20"/>
              </w:rPr>
            </w:pPr>
          </w:p>
        </w:tc>
      </w:tr>
      <w:tr w:rsidR="00045D75" w:rsidRPr="0009512B" w:rsidTr="003B52E6">
        <w:trPr>
          <w:cantSplit/>
          <w:trHeight w:val="259"/>
          <w:jc w:val="center"/>
        </w:trPr>
        <w:tc>
          <w:tcPr>
            <w:tcW w:w="5000" w:type="pct"/>
            <w:gridSpan w:val="2"/>
            <w:shd w:val="clear" w:color="auto" w:fill="auto"/>
            <w:vAlign w:val="center"/>
          </w:tcPr>
          <w:p w:rsidR="00045D75" w:rsidRPr="0009512B" w:rsidRDefault="00045D75" w:rsidP="00D107AF">
            <w:pPr>
              <w:pStyle w:val="ListParagraph"/>
              <w:numPr>
                <w:ilvl w:val="0"/>
                <w:numId w:val="1"/>
              </w:numPr>
              <w:ind w:left="269" w:hanging="269"/>
              <w:rPr>
                <w:sz w:val="20"/>
              </w:rPr>
            </w:pPr>
            <w:r w:rsidRPr="0009512B">
              <w:rPr>
                <w:sz w:val="20"/>
              </w:rPr>
              <w:t xml:space="preserve">Do you have </w:t>
            </w:r>
            <w:r w:rsidR="0071180C">
              <w:rPr>
                <w:sz w:val="20"/>
              </w:rPr>
              <w:t>some e</w:t>
            </w:r>
            <w:r w:rsidRPr="0009512B">
              <w:rPr>
                <w:sz w:val="20"/>
              </w:rPr>
              <w:t>xperience or information relevant to this topic? If so, please describe briefly.</w:t>
            </w:r>
          </w:p>
          <w:p w:rsidR="00045D75" w:rsidRDefault="00045D75" w:rsidP="00045D75">
            <w:pPr>
              <w:rPr>
                <w:sz w:val="20"/>
              </w:rPr>
            </w:pPr>
          </w:p>
          <w:p w:rsidR="00584561" w:rsidRDefault="00584561" w:rsidP="00045D75">
            <w:pPr>
              <w:rPr>
                <w:sz w:val="20"/>
              </w:rPr>
            </w:pPr>
          </w:p>
          <w:p w:rsidR="0071180C" w:rsidRDefault="0071180C" w:rsidP="00045D75">
            <w:pPr>
              <w:rPr>
                <w:sz w:val="20"/>
              </w:rPr>
            </w:pPr>
          </w:p>
          <w:p w:rsidR="00045D75" w:rsidRDefault="00045D75" w:rsidP="00045D75">
            <w:pPr>
              <w:rPr>
                <w:sz w:val="20"/>
              </w:rPr>
            </w:pPr>
          </w:p>
          <w:p w:rsidR="00D107AF" w:rsidRPr="0009512B" w:rsidRDefault="00D107AF" w:rsidP="00045D75">
            <w:pPr>
              <w:rPr>
                <w:sz w:val="20"/>
              </w:rPr>
            </w:pPr>
          </w:p>
        </w:tc>
      </w:tr>
      <w:tr w:rsidR="00045D75" w:rsidRPr="0009512B" w:rsidTr="003B52E6">
        <w:trPr>
          <w:cantSplit/>
          <w:trHeight w:val="259"/>
          <w:jc w:val="center"/>
        </w:trPr>
        <w:tc>
          <w:tcPr>
            <w:tcW w:w="5000" w:type="pct"/>
            <w:gridSpan w:val="2"/>
            <w:shd w:val="clear" w:color="auto" w:fill="auto"/>
            <w:vAlign w:val="center"/>
          </w:tcPr>
          <w:p w:rsidR="00045D75" w:rsidRPr="0009512B" w:rsidRDefault="00D107AF" w:rsidP="00D107AF">
            <w:pPr>
              <w:ind w:left="269" w:hanging="269"/>
              <w:rPr>
                <w:sz w:val="20"/>
              </w:rPr>
            </w:pPr>
            <w:r>
              <w:rPr>
                <w:sz w:val="20"/>
              </w:rPr>
              <w:t xml:space="preserve">3. </w:t>
            </w:r>
            <w:r w:rsidR="00045D75" w:rsidRPr="0009512B">
              <w:rPr>
                <w:sz w:val="20"/>
              </w:rPr>
              <w:t>What changes in your teaching practice might you be interested in making through participating in the FLC?</w:t>
            </w:r>
          </w:p>
          <w:p w:rsidR="00045D75" w:rsidRDefault="00045D75" w:rsidP="00045D75">
            <w:pPr>
              <w:rPr>
                <w:sz w:val="20"/>
              </w:rPr>
            </w:pPr>
          </w:p>
          <w:p w:rsidR="00584561" w:rsidRDefault="00584561" w:rsidP="00045D75">
            <w:pPr>
              <w:rPr>
                <w:sz w:val="20"/>
              </w:rPr>
            </w:pPr>
          </w:p>
          <w:p w:rsidR="00584561" w:rsidRPr="0009512B" w:rsidRDefault="00584561" w:rsidP="00045D75">
            <w:pPr>
              <w:rPr>
                <w:sz w:val="20"/>
              </w:rPr>
            </w:pPr>
          </w:p>
          <w:p w:rsidR="00045D75" w:rsidRPr="0009512B" w:rsidRDefault="00045D75" w:rsidP="00045D75">
            <w:pPr>
              <w:rPr>
                <w:sz w:val="20"/>
              </w:rPr>
            </w:pPr>
          </w:p>
        </w:tc>
      </w:tr>
    </w:tbl>
    <w:p w:rsidR="008E5593" w:rsidRDefault="008E5593" w:rsidP="00823B94">
      <w:pPr>
        <w:jc w:val="center"/>
        <w:rPr>
          <w:b/>
          <w:sz w:val="20"/>
        </w:rPr>
        <w:sectPr w:rsidR="008E5593" w:rsidSect="00400969">
          <w:footerReference w:type="default" r:id="rId8"/>
          <w:pgSz w:w="12240" w:h="15840"/>
          <w:pgMar w:top="1080" w:right="1440" w:bottom="1080" w:left="1440" w:header="720" w:footer="720" w:gutter="0"/>
          <w:cols w:space="720"/>
          <w:docGrid w:linePitch="360"/>
        </w:sect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557"/>
        <w:gridCol w:w="1557"/>
        <w:gridCol w:w="1560"/>
        <w:gridCol w:w="1558"/>
        <w:gridCol w:w="150"/>
        <w:gridCol w:w="1408"/>
        <w:gridCol w:w="1560"/>
      </w:tblGrid>
      <w:tr w:rsidR="002C0936" w:rsidRPr="0009512B" w:rsidTr="003B52E6">
        <w:trPr>
          <w:cantSplit/>
          <w:trHeight w:val="288"/>
          <w:jc w:val="center"/>
        </w:trPr>
        <w:tc>
          <w:tcPr>
            <w:tcW w:w="5000" w:type="pct"/>
            <w:gridSpan w:val="7"/>
            <w:tcBorders>
              <w:bottom w:val="single" w:sz="4" w:space="0" w:color="808080" w:themeColor="background1" w:themeShade="80"/>
            </w:tcBorders>
            <w:shd w:val="clear" w:color="auto" w:fill="D9D9D9" w:themeFill="background1" w:themeFillShade="D9"/>
            <w:vAlign w:val="center"/>
          </w:tcPr>
          <w:p w:rsidR="002C0936" w:rsidRPr="0009512B" w:rsidRDefault="00823B94" w:rsidP="000C305F">
            <w:pPr>
              <w:spacing w:before="120"/>
              <w:jc w:val="center"/>
              <w:rPr>
                <w:b/>
                <w:sz w:val="20"/>
              </w:rPr>
            </w:pPr>
            <w:r w:rsidRPr="0009512B">
              <w:rPr>
                <w:b/>
                <w:sz w:val="20"/>
              </w:rPr>
              <w:lastRenderedPageBreak/>
              <w:t>FALL 201</w:t>
            </w:r>
            <w:r w:rsidR="00F6228B">
              <w:rPr>
                <w:b/>
                <w:sz w:val="20"/>
              </w:rPr>
              <w:t>9</w:t>
            </w:r>
            <w:r w:rsidRPr="0009512B">
              <w:rPr>
                <w:b/>
                <w:sz w:val="20"/>
              </w:rPr>
              <w:t xml:space="preserve"> SCHEDULE</w:t>
            </w:r>
          </w:p>
          <w:p w:rsidR="00823B94" w:rsidRPr="0009512B" w:rsidRDefault="00823B94" w:rsidP="000C305F">
            <w:pPr>
              <w:spacing w:after="120"/>
              <w:rPr>
                <w:sz w:val="20"/>
              </w:rPr>
            </w:pPr>
            <w:r w:rsidRPr="0009512B">
              <w:rPr>
                <w:sz w:val="20"/>
              </w:rPr>
              <w:t xml:space="preserve">Please mark the times during which you will </w:t>
            </w:r>
            <w:r w:rsidR="004F754B" w:rsidRPr="0071180C">
              <w:rPr>
                <w:b/>
                <w:i/>
                <w:sz w:val="20"/>
                <w:u w:val="single"/>
              </w:rPr>
              <w:t>not</w:t>
            </w:r>
            <w:r w:rsidR="004F754B" w:rsidRPr="0009512B">
              <w:rPr>
                <w:sz w:val="20"/>
              </w:rPr>
              <w:t xml:space="preserve"> be regularly available during the fall semester</w:t>
            </w:r>
            <w:r w:rsidR="00DE5EA4">
              <w:rPr>
                <w:sz w:val="20"/>
              </w:rPr>
              <w:t>.</w:t>
            </w:r>
          </w:p>
        </w:tc>
      </w:tr>
      <w:tr w:rsidR="00823B94" w:rsidRPr="0009512B" w:rsidTr="003B52E6">
        <w:trPr>
          <w:cantSplit/>
          <w:trHeight w:val="306"/>
          <w:jc w:val="center"/>
        </w:trPr>
        <w:tc>
          <w:tcPr>
            <w:tcW w:w="833" w:type="pct"/>
            <w:shd w:val="clear" w:color="auto" w:fill="FFFFFF" w:themeFill="background1"/>
            <w:vAlign w:val="center"/>
          </w:tcPr>
          <w:p w:rsidR="00823B94" w:rsidRPr="0009512B" w:rsidRDefault="00823B94" w:rsidP="00BC0F25">
            <w:pPr>
              <w:pStyle w:val="Heading2"/>
              <w:rPr>
                <w:sz w:val="20"/>
              </w:rPr>
            </w:pPr>
          </w:p>
        </w:tc>
        <w:tc>
          <w:tcPr>
            <w:tcW w:w="833" w:type="pct"/>
            <w:shd w:val="clear" w:color="auto" w:fill="FFFFFF" w:themeFill="background1"/>
            <w:vAlign w:val="center"/>
          </w:tcPr>
          <w:p w:rsidR="00823B94" w:rsidRPr="0009512B" w:rsidRDefault="003B52E6" w:rsidP="00BC0F25">
            <w:pPr>
              <w:pStyle w:val="Heading2"/>
              <w:rPr>
                <w:sz w:val="20"/>
              </w:rPr>
            </w:pPr>
            <w:r>
              <w:rPr>
                <w:sz w:val="20"/>
              </w:rPr>
              <w:t>Monday</w:t>
            </w:r>
          </w:p>
        </w:tc>
        <w:tc>
          <w:tcPr>
            <w:tcW w:w="834" w:type="pct"/>
            <w:shd w:val="clear" w:color="auto" w:fill="FFFFFF" w:themeFill="background1"/>
            <w:vAlign w:val="center"/>
          </w:tcPr>
          <w:p w:rsidR="00823B94" w:rsidRPr="0009512B" w:rsidRDefault="003B52E6" w:rsidP="00BC0F25">
            <w:pPr>
              <w:pStyle w:val="Heading2"/>
              <w:rPr>
                <w:sz w:val="20"/>
              </w:rPr>
            </w:pPr>
            <w:r>
              <w:rPr>
                <w:sz w:val="20"/>
              </w:rPr>
              <w:t>tuesday</w:t>
            </w:r>
          </w:p>
        </w:tc>
        <w:tc>
          <w:tcPr>
            <w:tcW w:w="833" w:type="pct"/>
            <w:shd w:val="clear" w:color="auto" w:fill="FFFFFF" w:themeFill="background1"/>
            <w:vAlign w:val="center"/>
          </w:tcPr>
          <w:p w:rsidR="00823B94" w:rsidRPr="0009512B" w:rsidRDefault="003B52E6" w:rsidP="00BC0F25">
            <w:pPr>
              <w:pStyle w:val="Heading2"/>
              <w:rPr>
                <w:sz w:val="20"/>
              </w:rPr>
            </w:pPr>
            <w:r>
              <w:rPr>
                <w:sz w:val="20"/>
              </w:rPr>
              <w:t>wednesday</w:t>
            </w:r>
          </w:p>
        </w:tc>
        <w:tc>
          <w:tcPr>
            <w:tcW w:w="833" w:type="pct"/>
            <w:gridSpan w:val="2"/>
            <w:shd w:val="clear" w:color="auto" w:fill="FFFFFF" w:themeFill="background1"/>
            <w:vAlign w:val="center"/>
          </w:tcPr>
          <w:p w:rsidR="00823B94" w:rsidRPr="0009512B" w:rsidRDefault="003B52E6" w:rsidP="00BC0F25">
            <w:pPr>
              <w:pStyle w:val="Heading2"/>
              <w:rPr>
                <w:sz w:val="20"/>
              </w:rPr>
            </w:pPr>
            <w:r>
              <w:rPr>
                <w:sz w:val="20"/>
              </w:rPr>
              <w:t>thursday</w:t>
            </w:r>
          </w:p>
        </w:tc>
        <w:tc>
          <w:tcPr>
            <w:tcW w:w="834" w:type="pct"/>
            <w:shd w:val="clear" w:color="auto" w:fill="FFFFFF" w:themeFill="background1"/>
            <w:vAlign w:val="center"/>
          </w:tcPr>
          <w:p w:rsidR="00823B94" w:rsidRPr="0009512B" w:rsidRDefault="003B52E6" w:rsidP="00BC0F25">
            <w:pPr>
              <w:pStyle w:val="Heading2"/>
              <w:rPr>
                <w:sz w:val="20"/>
              </w:rPr>
            </w:pPr>
            <w:r>
              <w:rPr>
                <w:sz w:val="20"/>
              </w:rPr>
              <w:t>friday</w:t>
            </w:r>
          </w:p>
        </w:tc>
      </w:tr>
      <w:tr w:rsidR="0009512B" w:rsidRPr="0009512B" w:rsidTr="003B52E6">
        <w:trPr>
          <w:cantSplit/>
          <w:trHeight w:val="306"/>
          <w:jc w:val="center"/>
        </w:trPr>
        <w:tc>
          <w:tcPr>
            <w:tcW w:w="833" w:type="pct"/>
            <w:shd w:val="clear" w:color="auto" w:fill="FFFFFF" w:themeFill="background1"/>
            <w:vAlign w:val="center"/>
          </w:tcPr>
          <w:p w:rsidR="0009512B" w:rsidRPr="0009512B" w:rsidRDefault="0009512B" w:rsidP="0009512B">
            <w:pPr>
              <w:rPr>
                <w:sz w:val="20"/>
              </w:rPr>
            </w:pPr>
            <w:r w:rsidRPr="0009512B">
              <w:rPr>
                <w:sz w:val="20"/>
              </w:rPr>
              <w:t>8:00-8:50</w:t>
            </w:r>
          </w:p>
        </w:tc>
        <w:tc>
          <w:tcPr>
            <w:tcW w:w="833" w:type="pct"/>
            <w:shd w:val="clear" w:color="auto" w:fill="FFFFFF" w:themeFill="background1"/>
            <w:vAlign w:val="center"/>
          </w:tcPr>
          <w:p w:rsidR="0009512B" w:rsidRPr="0009512B" w:rsidRDefault="0009512B" w:rsidP="0009512B">
            <w:pPr>
              <w:pStyle w:val="Heading2"/>
              <w:rPr>
                <w:sz w:val="20"/>
              </w:rPr>
            </w:pPr>
          </w:p>
        </w:tc>
        <w:tc>
          <w:tcPr>
            <w:tcW w:w="834" w:type="pct"/>
            <w:shd w:val="clear" w:color="auto" w:fill="FFFFFF" w:themeFill="background1"/>
            <w:vAlign w:val="center"/>
          </w:tcPr>
          <w:p w:rsidR="0009512B" w:rsidRPr="0009512B" w:rsidRDefault="0009512B" w:rsidP="0009512B">
            <w:pPr>
              <w:pStyle w:val="Heading2"/>
              <w:rPr>
                <w:sz w:val="20"/>
              </w:rPr>
            </w:pPr>
          </w:p>
        </w:tc>
        <w:tc>
          <w:tcPr>
            <w:tcW w:w="833" w:type="pct"/>
            <w:shd w:val="clear" w:color="auto" w:fill="FFFFFF" w:themeFill="background1"/>
            <w:vAlign w:val="center"/>
          </w:tcPr>
          <w:p w:rsidR="0009512B" w:rsidRPr="0009512B" w:rsidRDefault="0009512B" w:rsidP="0009512B">
            <w:pPr>
              <w:pStyle w:val="Heading2"/>
              <w:rPr>
                <w:sz w:val="20"/>
              </w:rPr>
            </w:pPr>
          </w:p>
        </w:tc>
        <w:tc>
          <w:tcPr>
            <w:tcW w:w="833" w:type="pct"/>
            <w:gridSpan w:val="2"/>
            <w:shd w:val="clear" w:color="auto" w:fill="FFFFFF" w:themeFill="background1"/>
            <w:vAlign w:val="center"/>
          </w:tcPr>
          <w:p w:rsidR="0009512B" w:rsidRPr="0009512B" w:rsidRDefault="0009512B" w:rsidP="0009512B">
            <w:pPr>
              <w:pStyle w:val="Heading2"/>
              <w:rPr>
                <w:sz w:val="20"/>
              </w:rPr>
            </w:pPr>
          </w:p>
        </w:tc>
        <w:tc>
          <w:tcPr>
            <w:tcW w:w="834" w:type="pct"/>
            <w:shd w:val="clear" w:color="auto" w:fill="FFFFFF" w:themeFill="background1"/>
            <w:vAlign w:val="center"/>
          </w:tcPr>
          <w:p w:rsidR="0009512B" w:rsidRPr="0009512B" w:rsidRDefault="0009512B" w:rsidP="0009512B">
            <w:pPr>
              <w:pStyle w:val="Heading2"/>
              <w:rPr>
                <w:sz w:val="20"/>
              </w:rPr>
            </w:pPr>
          </w:p>
        </w:tc>
      </w:tr>
      <w:tr w:rsidR="0009512B" w:rsidRPr="0009512B" w:rsidTr="003B52E6">
        <w:trPr>
          <w:cantSplit/>
          <w:trHeight w:val="324"/>
          <w:jc w:val="center"/>
        </w:trPr>
        <w:tc>
          <w:tcPr>
            <w:tcW w:w="833" w:type="pct"/>
            <w:shd w:val="clear" w:color="auto" w:fill="auto"/>
            <w:vAlign w:val="center"/>
          </w:tcPr>
          <w:p w:rsidR="0009512B" w:rsidRPr="0009512B" w:rsidRDefault="0009512B" w:rsidP="0009512B">
            <w:pPr>
              <w:rPr>
                <w:sz w:val="20"/>
              </w:rPr>
            </w:pPr>
            <w:r w:rsidRPr="0009512B">
              <w:rPr>
                <w:sz w:val="20"/>
              </w:rPr>
              <w:t>9:00-9:50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10:00-10:50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11:00-11:50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12:00-12:50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1:00-1:50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2:00-2:50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3:00-3:50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4:00-4:50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5:00-5:50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288"/>
          <w:jc w:val="center"/>
        </w:trPr>
        <w:tc>
          <w:tcPr>
            <w:tcW w:w="5000" w:type="pct"/>
            <w:gridSpan w:val="7"/>
            <w:shd w:val="clear" w:color="auto" w:fill="D9D9D9" w:themeFill="background1" w:themeFillShade="D9"/>
            <w:vAlign w:val="center"/>
          </w:tcPr>
          <w:p w:rsidR="0009512B" w:rsidRPr="0009512B" w:rsidRDefault="0009512B" w:rsidP="000C305F">
            <w:pPr>
              <w:pStyle w:val="Heading2"/>
              <w:spacing w:before="120" w:after="120"/>
              <w:rPr>
                <w:sz w:val="20"/>
              </w:rPr>
            </w:pPr>
            <w:r w:rsidRPr="0009512B">
              <w:rPr>
                <w:sz w:val="20"/>
              </w:rPr>
              <w:t>Signatures</w:t>
            </w:r>
          </w:p>
        </w:tc>
      </w:tr>
      <w:tr w:rsidR="0009512B" w:rsidRPr="0009512B" w:rsidTr="003B52E6">
        <w:trPr>
          <w:cantSplit/>
          <w:trHeight w:val="576"/>
          <w:jc w:val="center"/>
        </w:trPr>
        <w:tc>
          <w:tcPr>
            <w:tcW w:w="5000" w:type="pct"/>
            <w:gridSpan w:val="7"/>
            <w:shd w:val="clear" w:color="auto" w:fill="auto"/>
            <w:vAlign w:val="center"/>
          </w:tcPr>
          <w:p w:rsidR="0009512B" w:rsidRPr="0009512B" w:rsidRDefault="0009512B" w:rsidP="0009512B">
            <w:pPr>
              <w:spacing w:before="120" w:line="276" w:lineRule="auto"/>
              <w:rPr>
                <w:sz w:val="20"/>
              </w:rPr>
            </w:pPr>
            <w:r w:rsidRPr="0009512B">
              <w:rPr>
                <w:b/>
                <w:sz w:val="20"/>
              </w:rPr>
              <w:t xml:space="preserve">APPLICANT: </w:t>
            </w:r>
            <w:r w:rsidRPr="0009512B">
              <w:rPr>
                <w:sz w:val="20"/>
              </w:rPr>
              <w:t xml:space="preserve">If I am selected as a participant in the Faculty Learning Community, I agree to participate fully in the community’s activities. I will </w:t>
            </w:r>
            <w:r w:rsidR="000D51DF">
              <w:rPr>
                <w:sz w:val="20"/>
              </w:rPr>
              <w:t xml:space="preserve">attend all meetings and </w:t>
            </w:r>
            <w:r w:rsidRPr="0009512B">
              <w:rPr>
                <w:sz w:val="20"/>
              </w:rPr>
              <w:t xml:space="preserve">participate in the </w:t>
            </w:r>
            <w:r w:rsidR="000D51DF">
              <w:rPr>
                <w:sz w:val="20"/>
              </w:rPr>
              <w:t>activities</w:t>
            </w:r>
            <w:r w:rsidRPr="0009512B">
              <w:rPr>
                <w:sz w:val="20"/>
              </w:rPr>
              <w:t>, readings, projects and reports associated with this learning community. I will share things I learn with other faculty members.</w:t>
            </w:r>
          </w:p>
          <w:p w:rsidR="0009512B" w:rsidRPr="0009512B" w:rsidRDefault="0009512B" w:rsidP="0009512B">
            <w:pPr>
              <w:rPr>
                <w:sz w:val="20"/>
              </w:rPr>
            </w:pPr>
          </w:p>
        </w:tc>
      </w:tr>
      <w:tr w:rsidR="0009512B" w:rsidRPr="0009512B" w:rsidTr="00DE5EA4">
        <w:trPr>
          <w:cantSplit/>
          <w:trHeight w:val="259"/>
          <w:jc w:val="center"/>
        </w:trPr>
        <w:tc>
          <w:tcPr>
            <w:tcW w:w="3413" w:type="pct"/>
            <w:gridSpan w:val="5"/>
            <w:shd w:val="clear" w:color="auto" w:fill="auto"/>
            <w:vAlign w:val="center"/>
          </w:tcPr>
          <w:p w:rsidR="0009512B" w:rsidRDefault="0009512B" w:rsidP="003B52E6">
            <w:pPr>
              <w:rPr>
                <w:sz w:val="20"/>
              </w:rPr>
            </w:pPr>
            <w:r w:rsidRPr="0009512B">
              <w:rPr>
                <w:sz w:val="20"/>
              </w:rPr>
              <w:t>Signature of applicant:</w:t>
            </w:r>
          </w:p>
          <w:p w:rsidR="00DE5EA4" w:rsidRDefault="00DE5EA4" w:rsidP="003B52E6">
            <w:pPr>
              <w:rPr>
                <w:sz w:val="20"/>
              </w:rPr>
            </w:pPr>
          </w:p>
          <w:p w:rsidR="003B52E6" w:rsidRPr="0009512B" w:rsidRDefault="003B52E6" w:rsidP="003B52E6">
            <w:pPr>
              <w:rPr>
                <w:sz w:val="20"/>
              </w:rPr>
            </w:pPr>
          </w:p>
        </w:tc>
        <w:tc>
          <w:tcPr>
            <w:tcW w:w="1587" w:type="pct"/>
            <w:gridSpan w:val="2"/>
            <w:shd w:val="clear" w:color="auto" w:fill="auto"/>
          </w:tcPr>
          <w:p w:rsidR="0009512B" w:rsidRPr="0009512B" w:rsidRDefault="0009512B" w:rsidP="00DE5EA4">
            <w:pPr>
              <w:rPr>
                <w:sz w:val="20"/>
              </w:rPr>
            </w:pPr>
            <w:r w:rsidRPr="0009512B">
              <w:rPr>
                <w:sz w:val="20"/>
              </w:rPr>
              <w:t>Date:</w:t>
            </w:r>
          </w:p>
        </w:tc>
      </w:tr>
      <w:tr w:rsidR="0009512B" w:rsidRPr="0009512B" w:rsidTr="003B52E6">
        <w:trPr>
          <w:cantSplit/>
          <w:trHeight w:val="259"/>
          <w:jc w:val="center"/>
        </w:trPr>
        <w:tc>
          <w:tcPr>
            <w:tcW w:w="5000" w:type="pct"/>
            <w:gridSpan w:val="7"/>
            <w:shd w:val="clear" w:color="auto" w:fill="auto"/>
            <w:vAlign w:val="center"/>
          </w:tcPr>
          <w:p w:rsidR="0009512B" w:rsidRPr="0009512B" w:rsidRDefault="0009512B" w:rsidP="0009512B">
            <w:pPr>
              <w:spacing w:before="120" w:after="120" w:line="276" w:lineRule="auto"/>
              <w:rPr>
                <w:sz w:val="20"/>
              </w:rPr>
            </w:pPr>
            <w:r w:rsidRPr="0009512B">
              <w:rPr>
                <w:b/>
                <w:sz w:val="20"/>
              </w:rPr>
              <w:t xml:space="preserve">DEPARTMENT CHAIR/SUPERVISOR: </w:t>
            </w:r>
            <w:r w:rsidRPr="0009512B">
              <w:rPr>
                <w:sz w:val="20"/>
              </w:rPr>
              <w:t>I endorse the above applicant’s participation in the Faculty Learning Community and will value the curricular and pedagogical work completed by acknowledging the time commitment required by the FLC.</w:t>
            </w:r>
          </w:p>
        </w:tc>
      </w:tr>
      <w:tr w:rsidR="0009512B" w:rsidRPr="0009512B" w:rsidTr="00DE5EA4">
        <w:trPr>
          <w:cantSplit/>
          <w:trHeight w:val="259"/>
          <w:jc w:val="center"/>
        </w:trPr>
        <w:tc>
          <w:tcPr>
            <w:tcW w:w="3413" w:type="pct"/>
            <w:gridSpan w:val="5"/>
            <w:shd w:val="clear" w:color="auto" w:fill="auto"/>
            <w:vAlign w:val="center"/>
          </w:tcPr>
          <w:p w:rsidR="0009512B" w:rsidRDefault="0009512B" w:rsidP="0009512B">
            <w:pPr>
              <w:rPr>
                <w:sz w:val="20"/>
              </w:rPr>
            </w:pPr>
            <w:r w:rsidRPr="0009512B">
              <w:rPr>
                <w:sz w:val="20"/>
              </w:rPr>
              <w:t>Signature of Chair/Supervisor:</w:t>
            </w:r>
          </w:p>
          <w:p w:rsidR="00DE5EA4" w:rsidRDefault="00DE5EA4" w:rsidP="0009512B">
            <w:pPr>
              <w:rPr>
                <w:sz w:val="20"/>
              </w:rPr>
            </w:pPr>
          </w:p>
          <w:p w:rsidR="003B52E6" w:rsidRPr="0009512B" w:rsidRDefault="003B52E6" w:rsidP="0009512B">
            <w:pPr>
              <w:rPr>
                <w:sz w:val="20"/>
              </w:rPr>
            </w:pPr>
          </w:p>
        </w:tc>
        <w:tc>
          <w:tcPr>
            <w:tcW w:w="1587" w:type="pct"/>
            <w:gridSpan w:val="2"/>
            <w:shd w:val="clear" w:color="auto" w:fill="auto"/>
          </w:tcPr>
          <w:p w:rsidR="0009512B" w:rsidRPr="0009512B" w:rsidRDefault="0009512B" w:rsidP="00DE5EA4">
            <w:pPr>
              <w:rPr>
                <w:sz w:val="20"/>
              </w:rPr>
            </w:pPr>
            <w:r w:rsidRPr="0009512B">
              <w:rPr>
                <w:sz w:val="20"/>
              </w:rPr>
              <w:t>Date:</w:t>
            </w:r>
          </w:p>
        </w:tc>
      </w:tr>
    </w:tbl>
    <w:p w:rsidR="00467A40" w:rsidRDefault="00467A40" w:rsidP="009C7D71">
      <w:pPr>
        <w:rPr>
          <w:sz w:val="20"/>
        </w:rPr>
      </w:pPr>
    </w:p>
    <w:p w:rsidR="000B3DF2" w:rsidRDefault="000B3DF2">
      <w:pPr>
        <w:rPr>
          <w:sz w:val="20"/>
        </w:rPr>
      </w:pPr>
    </w:p>
    <w:p w:rsidR="00467A40" w:rsidRDefault="00377F3B">
      <w:pPr>
        <w:rPr>
          <w:sz w:val="20"/>
        </w:rPr>
      </w:pPr>
      <w:r>
        <w:rPr>
          <w:sz w:val="20"/>
        </w:rPr>
        <w:t>Please s</w:t>
      </w:r>
      <w:r w:rsidR="000B3DF2">
        <w:rPr>
          <w:sz w:val="20"/>
        </w:rPr>
        <w:t>ubmit your application</w:t>
      </w:r>
      <w:r w:rsidR="005F3806">
        <w:rPr>
          <w:sz w:val="20"/>
        </w:rPr>
        <w:t xml:space="preserve"> by email to</w:t>
      </w:r>
      <w:r>
        <w:rPr>
          <w:sz w:val="20"/>
        </w:rPr>
        <w:t xml:space="preserve"> </w:t>
      </w:r>
      <w:hyperlink r:id="rId9" w:history="1">
        <w:r w:rsidRPr="002C4144">
          <w:rPr>
            <w:rStyle w:val="Hyperlink"/>
            <w:sz w:val="20"/>
          </w:rPr>
          <w:t>fdc@umbc.edu</w:t>
        </w:r>
      </w:hyperlink>
      <w:r w:rsidR="00A2092A">
        <w:rPr>
          <w:rFonts w:ascii="Verdana" w:hAnsi="Verdana"/>
          <w:b/>
          <w:bCs/>
          <w:color w:val="000000"/>
          <w:sz w:val="19"/>
          <w:szCs w:val="19"/>
          <w:shd w:val="clear" w:color="auto" w:fill="FFFFFF"/>
        </w:rPr>
        <w:t xml:space="preserve"> </w:t>
      </w:r>
      <w:r w:rsidR="00A2092A" w:rsidRPr="008A7568">
        <w:rPr>
          <w:b/>
          <w:sz w:val="20"/>
        </w:rPr>
        <w:t>by Friday, May 2</w:t>
      </w:r>
      <w:r w:rsidR="0071180C">
        <w:rPr>
          <w:b/>
          <w:sz w:val="20"/>
        </w:rPr>
        <w:t>4</w:t>
      </w:r>
      <w:r w:rsidRPr="00377F3B">
        <w:rPr>
          <w:b/>
          <w:sz w:val="20"/>
        </w:rPr>
        <w:t>, 201</w:t>
      </w:r>
      <w:r w:rsidR="0071180C">
        <w:rPr>
          <w:b/>
          <w:sz w:val="20"/>
        </w:rPr>
        <w:t>9</w:t>
      </w:r>
      <w:r w:rsidR="008A7568">
        <w:rPr>
          <w:sz w:val="20"/>
        </w:rPr>
        <w:t>.</w:t>
      </w:r>
      <w:r w:rsidR="00A2092A">
        <w:rPr>
          <w:sz w:val="20"/>
        </w:rPr>
        <w:t xml:space="preserve"> Applicants will be notified by June 2</w:t>
      </w:r>
      <w:r w:rsidR="0071180C">
        <w:rPr>
          <w:sz w:val="20"/>
        </w:rPr>
        <w:t>8</w:t>
      </w:r>
      <w:r w:rsidR="00A2092A">
        <w:rPr>
          <w:sz w:val="20"/>
        </w:rPr>
        <w:t>, 201</w:t>
      </w:r>
      <w:r w:rsidR="0071180C">
        <w:rPr>
          <w:sz w:val="20"/>
        </w:rPr>
        <w:t xml:space="preserve">9 </w:t>
      </w:r>
      <w:r w:rsidR="00A2092A">
        <w:rPr>
          <w:sz w:val="20"/>
        </w:rPr>
        <w:t>of their acceptance to an FLC.</w:t>
      </w:r>
      <w:r w:rsidR="00467A40">
        <w:rPr>
          <w:sz w:val="20"/>
        </w:rPr>
        <w:br w:type="page"/>
      </w:r>
    </w:p>
    <w:p w:rsidR="00F6228B" w:rsidRDefault="00F6228B" w:rsidP="0064024C">
      <w:pPr>
        <w:rPr>
          <w:b/>
          <w:sz w:val="20"/>
        </w:rPr>
      </w:pPr>
      <w:r w:rsidRPr="0064024C">
        <w:rPr>
          <w:b/>
          <w:noProof/>
          <w:sz w:val="20"/>
        </w:rPr>
        <w:lastRenderedPageBreak/>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1905</wp:posOffset>
                </wp:positionV>
                <wp:extent cx="6385560" cy="6324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32460"/>
                        </a:xfrm>
                        <a:prstGeom prst="rect">
                          <a:avLst/>
                        </a:prstGeom>
                        <a:solidFill>
                          <a:schemeClr val="tx1">
                            <a:lumMod val="50000"/>
                            <a:lumOff val="50000"/>
                          </a:schemeClr>
                        </a:solidFill>
                        <a:ln w="9525">
                          <a:solidFill>
                            <a:srgbClr val="000000"/>
                          </a:solidFill>
                          <a:miter lim="800000"/>
                          <a:headEnd/>
                          <a:tailEnd/>
                        </a:ln>
                      </wps:spPr>
                      <wps:txbx>
                        <w:txbxContent>
                          <w:p w:rsidR="00D62EB9" w:rsidRDefault="00D62EB9" w:rsidP="0064024C">
                            <w:pPr>
                              <w:jc w:val="center"/>
                              <w:rPr>
                                <w:b/>
                                <w:color w:val="FFFFFF" w:themeColor="background1"/>
                                <w:sz w:val="32"/>
                                <w:szCs w:val="32"/>
                              </w:rPr>
                            </w:pPr>
                            <w:r>
                              <w:rPr>
                                <w:b/>
                                <w:color w:val="FFFFFF" w:themeColor="background1"/>
                                <w:sz w:val="32"/>
                                <w:szCs w:val="32"/>
                              </w:rPr>
                              <w:t>DESCRIPTIONS OF PROPOSED FLCs</w:t>
                            </w:r>
                          </w:p>
                          <w:p w:rsidR="00D62EB9" w:rsidRPr="0064024C" w:rsidRDefault="00D62EB9" w:rsidP="00F6228B">
                            <w:pPr>
                              <w:jc w:val="center"/>
                              <w:rPr>
                                <w:b/>
                                <w:color w:val="FFFFFF" w:themeColor="background1"/>
                                <w:sz w:val="28"/>
                                <w:szCs w:val="28"/>
                              </w:rPr>
                            </w:pPr>
                            <w:r>
                              <w:rPr>
                                <w:b/>
                                <w:color w:val="FFFFFF" w:themeColor="background1"/>
                                <w:sz w:val="28"/>
                                <w:szCs w:val="28"/>
                              </w:rPr>
                              <w:t>2019-20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02.8pt;height:49.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" fillcolor="gray [1629]">
                <v:textbox>
                  <w:txbxContent>
                    <w:p w:rsidR="00D62EB9" w:rsidRDefault="00D62EB9" w:rsidP="0064024C">
                      <w:pPr>
                        <w:jc w:val="center"/>
                        <w:rPr>
                          <w:b/>
                          <w:color w:val="FFFFFF" w:themeColor="background1"/>
                          <w:sz w:val="32"/>
                          <w:szCs w:val="32"/>
                        </w:rPr>
                      </w:pPr>
                      <w:r>
                        <w:rPr>
                          <w:b/>
                          <w:color w:val="FFFFFF" w:themeColor="background1"/>
                          <w:sz w:val="32"/>
                          <w:szCs w:val="32"/>
                        </w:rPr>
                        <w:t>DESCRIPTIONS OF PROPOSED FLCs</w:t>
                      </w:r>
                    </w:p>
                    <w:p w:rsidR="00D62EB9" w:rsidRPr="0064024C" w:rsidRDefault="00D62EB9" w:rsidP="00F6228B">
                      <w:pPr>
                        <w:jc w:val="center"/>
                        <w:rPr>
                          <w:b/>
                          <w:color w:val="FFFFFF" w:themeColor="background1"/>
                          <w:sz w:val="28"/>
                          <w:szCs w:val="28"/>
                        </w:rPr>
                      </w:pPr>
                      <w:r>
                        <w:rPr>
                          <w:b/>
                          <w:color w:val="FFFFFF" w:themeColor="background1"/>
                          <w:sz w:val="28"/>
                          <w:szCs w:val="28"/>
                        </w:rPr>
                        <w:t>2019-20</w:t>
                      </w:r>
                    </w:p>
                  </w:txbxContent>
                </v:textbox>
                <w10:wrap type="square" anchorx="margin"/>
              </v:shape>
            </w:pict>
          </mc:Fallback>
        </mc:AlternateContent>
      </w:r>
    </w:p>
    <w:p w:rsidR="000E3A21" w:rsidRPr="00967261" w:rsidRDefault="000E3A21" w:rsidP="000E3A21">
      <w:pPr>
        <w:pStyle w:val="ListParagraph"/>
        <w:numPr>
          <w:ilvl w:val="0"/>
          <w:numId w:val="4"/>
        </w:numPr>
        <w:shd w:val="clear" w:color="auto" w:fill="FFFFFF"/>
        <w:spacing w:after="120"/>
        <w:ind w:left="360"/>
        <w:rPr>
          <w:rFonts w:eastAsia="Calibri" w:cstheme="minorHAnsi"/>
          <w:sz w:val="22"/>
          <w:szCs w:val="22"/>
        </w:rPr>
      </w:pPr>
      <w:r w:rsidRPr="00967261">
        <w:rPr>
          <w:rFonts w:eastAsia="Calibri" w:cstheme="minorHAnsi"/>
          <w:b/>
          <w:sz w:val="22"/>
          <w:szCs w:val="22"/>
        </w:rPr>
        <w:t xml:space="preserve">Contemplative Pedagogies: Mindfulness in the Classroom </w:t>
      </w:r>
      <w:r w:rsidRPr="00967261">
        <w:rPr>
          <w:rFonts w:eastAsia="Calibri" w:cstheme="minorHAnsi"/>
          <w:sz w:val="22"/>
          <w:szCs w:val="22"/>
        </w:rPr>
        <w:t>(</w:t>
      </w:r>
      <w:r w:rsidR="00967261" w:rsidRPr="00967261">
        <w:rPr>
          <w:rFonts w:eastAsia="Calibri" w:cstheme="minorHAnsi"/>
          <w:sz w:val="22"/>
          <w:szCs w:val="22"/>
        </w:rPr>
        <w:t>Proposed</w:t>
      </w:r>
      <w:r w:rsidRPr="00967261">
        <w:rPr>
          <w:rFonts w:eastAsia="Calibri" w:cstheme="minorHAnsi"/>
          <w:sz w:val="22"/>
          <w:szCs w:val="22"/>
        </w:rPr>
        <w:t xml:space="preserve"> by Janet Gross, English)</w:t>
      </w:r>
    </w:p>
    <w:p w:rsidR="000E3A21" w:rsidRPr="00967261" w:rsidRDefault="000E3A21" w:rsidP="0071180C">
      <w:pPr>
        <w:spacing w:after="120"/>
        <w:ind w:left="360"/>
        <w:rPr>
          <w:rFonts w:eastAsia="Calibri" w:cstheme="minorHAnsi"/>
          <w:sz w:val="22"/>
          <w:szCs w:val="22"/>
        </w:rPr>
      </w:pPr>
      <w:r w:rsidRPr="00967261">
        <w:rPr>
          <w:rFonts w:eastAsia="Calibri" w:cstheme="minorHAnsi"/>
          <w:sz w:val="22"/>
          <w:szCs w:val="22"/>
        </w:rPr>
        <w:t xml:space="preserve">Research confirms that contemplative classroom practices such as </w:t>
      </w:r>
      <w:r w:rsidRPr="00967261">
        <w:rPr>
          <w:rFonts w:eastAsia="Calibri" w:cstheme="minorHAnsi"/>
          <w:iCs/>
          <w:sz w:val="22"/>
          <w:szCs w:val="22"/>
        </w:rPr>
        <w:t>journaling, singing or listening to music, making or appreciating art, reading and writing poetry, and practicing guided meditation</w:t>
      </w:r>
      <w:r w:rsidRPr="00967261">
        <w:rPr>
          <w:rFonts w:eastAsia="Calibri" w:cstheme="minorHAnsi"/>
          <w:sz w:val="22"/>
          <w:szCs w:val="22"/>
        </w:rPr>
        <w:t xml:space="preserve"> can offset the constant distractions of our multi-tasked, media-saturated culture. Contemplative pedagogies can help students to concentrate more effectively, </w:t>
      </w:r>
      <w:r w:rsidRPr="00967261">
        <w:rPr>
          <w:rFonts w:eastAsia="Calibri" w:cstheme="minorHAnsi"/>
          <w:iCs/>
          <w:sz w:val="22"/>
          <w:szCs w:val="22"/>
        </w:rPr>
        <w:t>deepen their awareness of the subject matter, and develop insights into inter-connections between themselves, their learning, and their relationships with others. Participants in this FLC</w:t>
      </w:r>
      <w:r w:rsidRPr="00967261">
        <w:rPr>
          <w:rFonts w:eastAsia="Calibri" w:cstheme="minorHAnsi"/>
          <w:sz w:val="22"/>
          <w:szCs w:val="22"/>
        </w:rPr>
        <w:t xml:space="preserve"> will explore, practice, and ultimately share with students a variety of contemplative pedagogies.</w:t>
      </w:r>
    </w:p>
    <w:p w:rsidR="00DD4202" w:rsidRPr="00967261" w:rsidRDefault="004C2516" w:rsidP="0071180C">
      <w:pPr>
        <w:shd w:val="clear" w:color="auto" w:fill="FFFFFF"/>
        <w:ind w:left="360"/>
        <w:rPr>
          <w:rFonts w:eastAsia="Calibri" w:cstheme="minorHAnsi"/>
          <w:sz w:val="22"/>
          <w:szCs w:val="22"/>
        </w:rPr>
      </w:pPr>
      <w:r w:rsidRPr="00967261">
        <w:rPr>
          <w:rFonts w:eastAsia="Calibri" w:cstheme="minorHAnsi"/>
          <w:sz w:val="22"/>
          <w:szCs w:val="22"/>
        </w:rPr>
        <w:t>​During the fall semester,</w:t>
      </w:r>
      <w:proofErr w:type="gramStart"/>
      <w:r w:rsidRPr="00967261">
        <w:rPr>
          <w:rFonts w:eastAsia="Calibri" w:cstheme="minorHAnsi"/>
          <w:sz w:val="22"/>
          <w:szCs w:val="22"/>
        </w:rPr>
        <w:t> ​participants</w:t>
      </w:r>
      <w:proofErr w:type="gramEnd"/>
      <w:r w:rsidRPr="00967261">
        <w:rPr>
          <w:rFonts w:eastAsia="Calibri" w:cstheme="minorHAnsi"/>
          <w:sz w:val="22"/>
          <w:szCs w:val="22"/>
        </w:rPr>
        <w:t> will read about the topic and try out various contemplative practices in the group. In the spring, group members will experiment with the use of contemplative teaching techniques in their own classes. They</w:t>
      </w:r>
      <w:proofErr w:type="gramStart"/>
      <w:r w:rsidRPr="00967261">
        <w:rPr>
          <w:rFonts w:eastAsia="Calibri" w:cstheme="minorHAnsi"/>
          <w:sz w:val="22"/>
          <w:szCs w:val="22"/>
        </w:rPr>
        <w:t> ​will</w:t>
      </w:r>
      <w:proofErr w:type="gramEnd"/>
      <w:r w:rsidR="00C945AA" w:rsidRPr="00967261">
        <w:rPr>
          <w:rFonts w:eastAsia="Calibri" w:cstheme="minorHAnsi"/>
          <w:sz w:val="22"/>
          <w:szCs w:val="22"/>
        </w:rPr>
        <w:t xml:space="preserve"> </w:t>
      </w:r>
      <w:r w:rsidRPr="00967261">
        <w:rPr>
          <w:rFonts w:eastAsia="Calibri" w:cstheme="minorHAnsi"/>
          <w:sz w:val="22"/>
          <w:szCs w:val="22"/>
        </w:rPr>
        <w:t>​also ​plan ways to assess and evaluate how adding contemplative pedagogies impacts students’ learning.</w:t>
      </w:r>
    </w:p>
    <w:p w:rsidR="004C2516" w:rsidRPr="00967261" w:rsidRDefault="004C2516" w:rsidP="000E3A21">
      <w:pPr>
        <w:shd w:val="clear" w:color="auto" w:fill="FFFFFF"/>
        <w:rPr>
          <w:rFonts w:eastAsia="Calibri" w:cstheme="minorHAnsi"/>
          <w:sz w:val="22"/>
          <w:szCs w:val="22"/>
        </w:rPr>
      </w:pPr>
    </w:p>
    <w:p w:rsidR="000E3A21" w:rsidRPr="00967261" w:rsidRDefault="000E3A21" w:rsidP="00751FE2">
      <w:pPr>
        <w:pStyle w:val="ListParagraph"/>
        <w:numPr>
          <w:ilvl w:val="0"/>
          <w:numId w:val="4"/>
        </w:numPr>
        <w:shd w:val="clear" w:color="auto" w:fill="FFFFFF"/>
        <w:spacing w:after="120"/>
        <w:ind w:left="360"/>
        <w:contextualSpacing w:val="0"/>
        <w:rPr>
          <w:rFonts w:eastAsia="Calibri" w:cstheme="minorHAnsi"/>
          <w:sz w:val="22"/>
          <w:szCs w:val="22"/>
        </w:rPr>
      </w:pPr>
      <w:r w:rsidRPr="00967261">
        <w:rPr>
          <w:rFonts w:eastAsia="Calibri" w:cstheme="minorHAnsi"/>
          <w:b/>
          <w:bCs/>
          <w:sz w:val="22"/>
          <w:szCs w:val="22"/>
        </w:rPr>
        <w:t xml:space="preserve">Creating </w:t>
      </w:r>
      <w:r w:rsidR="00673C98" w:rsidRPr="00967261">
        <w:rPr>
          <w:rFonts w:eastAsia="Calibri" w:cstheme="minorHAnsi"/>
          <w:b/>
          <w:bCs/>
          <w:sz w:val="22"/>
          <w:szCs w:val="22"/>
        </w:rPr>
        <w:t xml:space="preserve">Authentic, </w:t>
      </w:r>
      <w:r w:rsidRPr="00967261">
        <w:rPr>
          <w:rFonts w:eastAsia="Calibri" w:cstheme="minorHAnsi"/>
          <w:b/>
          <w:bCs/>
          <w:sz w:val="22"/>
          <w:szCs w:val="22"/>
        </w:rPr>
        <w:t xml:space="preserve">Meaningful Course Projects </w:t>
      </w:r>
      <w:r w:rsidRPr="00967261">
        <w:rPr>
          <w:rFonts w:eastAsia="Calibri" w:cstheme="minorHAnsi"/>
          <w:bCs/>
          <w:sz w:val="22"/>
          <w:szCs w:val="22"/>
        </w:rPr>
        <w:t>(</w:t>
      </w:r>
      <w:r w:rsidR="00967261">
        <w:rPr>
          <w:rFonts w:eastAsia="Calibri" w:cstheme="minorHAnsi"/>
          <w:bCs/>
          <w:sz w:val="22"/>
          <w:szCs w:val="22"/>
        </w:rPr>
        <w:t>Propos</w:t>
      </w:r>
      <w:r w:rsidRPr="00967261">
        <w:rPr>
          <w:rFonts w:eastAsia="Calibri" w:cstheme="minorHAnsi"/>
          <w:bCs/>
          <w:sz w:val="22"/>
          <w:szCs w:val="22"/>
        </w:rPr>
        <w:t>ed by Suzanne Lea, Sociology, Anthropology, and Health Administration and Policy)</w:t>
      </w:r>
    </w:p>
    <w:p w:rsidR="00705B0F" w:rsidRDefault="000E3A21" w:rsidP="0071180C">
      <w:pPr>
        <w:shd w:val="clear" w:color="auto" w:fill="FFFFFF"/>
        <w:ind w:left="360"/>
        <w:rPr>
          <w:rFonts w:eastAsia="Calibri" w:cstheme="minorHAnsi"/>
          <w:sz w:val="22"/>
          <w:szCs w:val="22"/>
        </w:rPr>
      </w:pPr>
      <w:r w:rsidRPr="00967261">
        <w:rPr>
          <w:rFonts w:eastAsia="Calibri" w:cstheme="minorHAnsi"/>
          <w:sz w:val="22"/>
          <w:szCs w:val="22"/>
        </w:rPr>
        <w:t>In many classes, we use data to help students better understand key course concepts or topics and/or to teach methodological skills. Especially in the case of methods courses, data is often “canned</w:t>
      </w:r>
      <w:r w:rsidR="00DD4202" w:rsidRPr="00967261">
        <w:rPr>
          <w:rFonts w:eastAsia="Calibri" w:cstheme="minorHAnsi"/>
          <w:sz w:val="22"/>
          <w:szCs w:val="22"/>
        </w:rPr>
        <w:t>,</w:t>
      </w:r>
      <w:r w:rsidRPr="00967261">
        <w:rPr>
          <w:rFonts w:eastAsia="Calibri" w:cstheme="minorHAnsi"/>
          <w:sz w:val="22"/>
          <w:szCs w:val="22"/>
        </w:rPr>
        <w:t>”</w:t>
      </w:r>
      <w:r w:rsidR="00DD4202" w:rsidRPr="00967261">
        <w:rPr>
          <w:rFonts w:eastAsia="Calibri" w:cstheme="minorHAnsi"/>
          <w:sz w:val="22"/>
          <w:szCs w:val="22"/>
        </w:rPr>
        <w:t xml:space="preserve"> that is,</w:t>
      </w:r>
      <w:r w:rsidRPr="00967261">
        <w:rPr>
          <w:rFonts w:eastAsia="Calibri" w:cstheme="minorHAnsi"/>
          <w:sz w:val="22"/>
          <w:szCs w:val="22"/>
        </w:rPr>
        <w:t xml:space="preserve"> packaged and prepared by a textbook publisher. But what if we engaged students in the collection, coding, and analysis of data that connects to their communities and that </w:t>
      </w:r>
      <w:r w:rsidR="00673C98" w:rsidRPr="00967261">
        <w:rPr>
          <w:rFonts w:eastAsia="Calibri" w:cstheme="minorHAnsi"/>
          <w:sz w:val="22"/>
          <w:szCs w:val="22"/>
        </w:rPr>
        <w:t>is meaningful</w:t>
      </w:r>
      <w:r w:rsidRPr="00967261">
        <w:rPr>
          <w:rFonts w:eastAsia="Calibri" w:cstheme="minorHAnsi"/>
          <w:sz w:val="22"/>
          <w:szCs w:val="22"/>
        </w:rPr>
        <w:t xml:space="preserve"> to them</w:t>
      </w:r>
      <w:r w:rsidR="00DD4202" w:rsidRPr="00967261">
        <w:rPr>
          <w:rFonts w:eastAsia="Calibri" w:cstheme="minorHAnsi"/>
          <w:sz w:val="22"/>
          <w:szCs w:val="22"/>
        </w:rPr>
        <w:t>?</w:t>
      </w:r>
      <w:r w:rsidRPr="00967261">
        <w:rPr>
          <w:rFonts w:eastAsia="Calibri" w:cstheme="minorHAnsi"/>
          <w:sz w:val="22"/>
          <w:szCs w:val="22"/>
        </w:rPr>
        <w:t> </w:t>
      </w:r>
    </w:p>
    <w:p w:rsidR="00705B0F" w:rsidRDefault="00705B0F" w:rsidP="0071180C">
      <w:pPr>
        <w:shd w:val="clear" w:color="auto" w:fill="FFFFFF"/>
        <w:ind w:left="360"/>
        <w:rPr>
          <w:rFonts w:eastAsia="Calibri" w:cstheme="minorHAnsi"/>
          <w:sz w:val="22"/>
          <w:szCs w:val="22"/>
        </w:rPr>
      </w:pPr>
    </w:p>
    <w:p w:rsidR="000E3A21" w:rsidRPr="006217E6" w:rsidRDefault="00DC6639" w:rsidP="0071180C">
      <w:pPr>
        <w:spacing w:after="120"/>
        <w:ind w:left="360"/>
        <w:rPr>
          <w:rFonts w:eastAsia="Calibri" w:cstheme="minorHAnsi"/>
          <w:sz w:val="22"/>
          <w:szCs w:val="22"/>
        </w:rPr>
      </w:pPr>
      <w:r w:rsidRPr="006217E6">
        <w:rPr>
          <w:rFonts w:eastAsia="Calibri" w:cstheme="minorHAnsi"/>
          <w:sz w:val="22"/>
          <w:szCs w:val="22"/>
        </w:rPr>
        <w:t xml:space="preserve">In this FLC, we will explore best practices for designing such course projects. We will also review existing models/examples and other resources for developing authentic assignments in which instructors and students collaborate with community partners or address problems that are relevant and meaningful to students and their communities. Potential questions </w:t>
      </w:r>
      <w:r w:rsidR="00195F5E" w:rsidRPr="006217E6">
        <w:rPr>
          <w:rFonts w:eastAsia="Calibri" w:cstheme="minorHAnsi"/>
          <w:sz w:val="22"/>
          <w:szCs w:val="22"/>
        </w:rPr>
        <w:t>the group might explor</w:t>
      </w:r>
      <w:r w:rsidRPr="006217E6">
        <w:rPr>
          <w:rFonts w:eastAsia="Calibri" w:cstheme="minorHAnsi"/>
          <w:sz w:val="22"/>
          <w:szCs w:val="22"/>
        </w:rPr>
        <w:t>e include: What constitutes authenticity for course projects? What makes a topic or project meaningful, both to students and to the communities involved? What are best practices in cultivating relationships with potential partners in the community? And how can we design projects for which the outcomes will benefit both students and their communities?</w:t>
      </w:r>
    </w:p>
    <w:p w:rsidR="00DC6639" w:rsidRDefault="00DC6639" w:rsidP="00DC6639">
      <w:pPr>
        <w:rPr>
          <w:rFonts w:ascii="Tahoma" w:hAnsi="Tahoma" w:cs="Tahoma"/>
          <w:color w:val="222222"/>
          <w:sz w:val="22"/>
          <w:szCs w:val="22"/>
          <w:shd w:val="clear" w:color="auto" w:fill="FFFFFF"/>
        </w:rPr>
      </w:pPr>
    </w:p>
    <w:p w:rsidR="000E3A21" w:rsidRPr="00967261" w:rsidRDefault="000E3A21" w:rsidP="00751FE2">
      <w:pPr>
        <w:pStyle w:val="ListParagraph"/>
        <w:numPr>
          <w:ilvl w:val="0"/>
          <w:numId w:val="4"/>
        </w:numPr>
        <w:spacing w:after="120"/>
        <w:ind w:left="360"/>
        <w:rPr>
          <w:rFonts w:eastAsia="Calibri" w:cstheme="minorHAnsi"/>
          <w:sz w:val="22"/>
          <w:szCs w:val="22"/>
        </w:rPr>
      </w:pPr>
      <w:r w:rsidRPr="00967261">
        <w:rPr>
          <w:rFonts w:eastAsia="Calibri" w:cstheme="minorHAnsi"/>
          <w:b/>
          <w:sz w:val="22"/>
          <w:szCs w:val="22"/>
        </w:rPr>
        <w:t xml:space="preserve">Less </w:t>
      </w:r>
      <w:r w:rsidR="00135815" w:rsidRPr="00967261">
        <w:rPr>
          <w:rFonts w:eastAsia="Calibri" w:cstheme="minorHAnsi"/>
          <w:b/>
          <w:sz w:val="22"/>
          <w:szCs w:val="22"/>
        </w:rPr>
        <w:t>“</w:t>
      </w:r>
      <w:r w:rsidRPr="00967261">
        <w:rPr>
          <w:rFonts w:eastAsia="Calibri" w:cstheme="minorHAnsi"/>
          <w:b/>
          <w:sz w:val="22"/>
          <w:szCs w:val="22"/>
        </w:rPr>
        <w:t>Me,</w:t>
      </w:r>
      <w:r w:rsidR="00135815" w:rsidRPr="00967261">
        <w:rPr>
          <w:rFonts w:eastAsia="Calibri" w:cstheme="minorHAnsi"/>
          <w:b/>
          <w:sz w:val="22"/>
          <w:szCs w:val="22"/>
        </w:rPr>
        <w:t>”</w:t>
      </w:r>
      <w:r w:rsidRPr="00967261">
        <w:rPr>
          <w:rFonts w:eastAsia="Calibri" w:cstheme="minorHAnsi"/>
          <w:b/>
          <w:sz w:val="22"/>
          <w:szCs w:val="22"/>
        </w:rPr>
        <w:t xml:space="preserve"> More </w:t>
      </w:r>
      <w:r w:rsidR="00135815" w:rsidRPr="00967261">
        <w:rPr>
          <w:rFonts w:eastAsia="Calibri" w:cstheme="minorHAnsi"/>
          <w:b/>
          <w:sz w:val="22"/>
          <w:szCs w:val="22"/>
        </w:rPr>
        <w:t>“</w:t>
      </w:r>
      <w:r w:rsidRPr="00967261">
        <w:rPr>
          <w:rFonts w:eastAsia="Calibri" w:cstheme="minorHAnsi"/>
          <w:b/>
          <w:sz w:val="22"/>
          <w:szCs w:val="22"/>
        </w:rPr>
        <w:t>We</w:t>
      </w:r>
      <w:r w:rsidR="00135815" w:rsidRPr="00967261">
        <w:rPr>
          <w:rFonts w:eastAsia="Calibri" w:cstheme="minorHAnsi"/>
          <w:b/>
          <w:sz w:val="22"/>
          <w:szCs w:val="22"/>
        </w:rPr>
        <w:t>”</w:t>
      </w:r>
      <w:r w:rsidRPr="00967261">
        <w:rPr>
          <w:rFonts w:eastAsia="Calibri" w:cstheme="minorHAnsi"/>
          <w:b/>
          <w:sz w:val="22"/>
          <w:szCs w:val="22"/>
        </w:rPr>
        <w:t xml:space="preserve">: Supporting Students to Work and Learn in Teams </w:t>
      </w:r>
      <w:r w:rsidRPr="00967261">
        <w:rPr>
          <w:rFonts w:eastAsia="Calibri" w:cstheme="minorHAnsi"/>
          <w:sz w:val="22"/>
          <w:szCs w:val="22"/>
        </w:rPr>
        <w:t>(</w:t>
      </w:r>
      <w:r w:rsidR="00967261">
        <w:rPr>
          <w:rFonts w:eastAsia="Calibri" w:cstheme="minorHAnsi"/>
          <w:sz w:val="22"/>
          <w:szCs w:val="22"/>
        </w:rPr>
        <w:t>Proposed by</w:t>
      </w:r>
      <w:r w:rsidRPr="00967261">
        <w:rPr>
          <w:rFonts w:eastAsia="Calibri" w:cstheme="minorHAnsi"/>
          <w:sz w:val="22"/>
          <w:szCs w:val="22"/>
        </w:rPr>
        <w:t xml:space="preserve"> Simon Stacey, Honors College)</w:t>
      </w:r>
    </w:p>
    <w:p w:rsidR="000E3A21" w:rsidRPr="00967261" w:rsidRDefault="000E3A21" w:rsidP="0071180C">
      <w:pPr>
        <w:shd w:val="clear" w:color="auto" w:fill="FFFFFF"/>
        <w:spacing w:after="120"/>
        <w:ind w:left="360"/>
        <w:rPr>
          <w:rFonts w:eastAsia="Calibri" w:cstheme="minorHAnsi"/>
          <w:sz w:val="22"/>
          <w:szCs w:val="22"/>
        </w:rPr>
      </w:pPr>
      <w:r w:rsidRPr="00967261">
        <w:rPr>
          <w:rFonts w:eastAsia="Calibri" w:cstheme="minorHAnsi"/>
          <w:sz w:val="22"/>
          <w:szCs w:val="22"/>
        </w:rPr>
        <w:t>This FLC will explore how instructors can understand and support students (undergraduate as well as graduate) working and learning in teams. Effective teamwork and team membership skills are crucial for learning in a range of academic disciplines and are just as important for success in post-graduation life. However, even with the advent of tools like CATME and a growing literature about what makes teams effective, many faculty and staff are largely on their own as they set up teams, develop assignments for them, try to monitor team dynamics, provide guidance and (re)direction to teams, and evaluate the performance of teams/team members. This FLC will provide an opportunity for UMBC faculty and staff doing this kind of work to:</w:t>
      </w:r>
    </w:p>
    <w:p w:rsidR="000E3A21" w:rsidRPr="00967261" w:rsidRDefault="000E3A21" w:rsidP="0071180C">
      <w:pPr>
        <w:pStyle w:val="ListParagraph"/>
        <w:numPr>
          <w:ilvl w:val="0"/>
          <w:numId w:val="2"/>
        </w:numPr>
        <w:shd w:val="clear" w:color="auto" w:fill="FFFFFF"/>
        <w:ind w:left="1080"/>
        <w:rPr>
          <w:rFonts w:eastAsia="Calibri" w:cstheme="minorHAnsi"/>
          <w:sz w:val="22"/>
          <w:szCs w:val="22"/>
        </w:rPr>
      </w:pPr>
      <w:r w:rsidRPr="00967261">
        <w:rPr>
          <w:rFonts w:eastAsia="Calibri" w:cstheme="minorHAnsi"/>
          <w:sz w:val="22"/>
          <w:szCs w:val="22"/>
        </w:rPr>
        <w:lastRenderedPageBreak/>
        <w:t>Review work—by academics as well as others—about effective teamwork and how to support it;</w:t>
      </w:r>
    </w:p>
    <w:p w:rsidR="000E3A21" w:rsidRPr="00967261" w:rsidRDefault="000E3A21" w:rsidP="0071180C">
      <w:pPr>
        <w:pStyle w:val="ListParagraph"/>
        <w:numPr>
          <w:ilvl w:val="0"/>
          <w:numId w:val="2"/>
        </w:numPr>
        <w:shd w:val="clear" w:color="auto" w:fill="FFFFFF"/>
        <w:ind w:left="1080"/>
        <w:rPr>
          <w:rFonts w:eastAsia="Calibri" w:cstheme="minorHAnsi"/>
          <w:sz w:val="22"/>
          <w:szCs w:val="22"/>
        </w:rPr>
      </w:pPr>
      <w:r w:rsidRPr="00967261">
        <w:rPr>
          <w:rFonts w:eastAsia="Calibri" w:cstheme="minorHAnsi"/>
          <w:sz w:val="22"/>
          <w:szCs w:val="22"/>
        </w:rPr>
        <w:t>Learn about and reflect on the experiences of peers whose work involves teams and teamwork;</w:t>
      </w:r>
    </w:p>
    <w:p w:rsidR="000E3A21" w:rsidRPr="00967261" w:rsidRDefault="000E3A21" w:rsidP="0071180C">
      <w:pPr>
        <w:pStyle w:val="ListParagraph"/>
        <w:numPr>
          <w:ilvl w:val="0"/>
          <w:numId w:val="2"/>
        </w:numPr>
        <w:shd w:val="clear" w:color="auto" w:fill="FFFFFF"/>
        <w:spacing w:after="120"/>
        <w:ind w:left="1080"/>
        <w:contextualSpacing w:val="0"/>
        <w:rPr>
          <w:rFonts w:eastAsia="Calibri" w:cstheme="minorHAnsi"/>
          <w:sz w:val="22"/>
          <w:szCs w:val="22"/>
        </w:rPr>
      </w:pPr>
      <w:r w:rsidRPr="00967261">
        <w:rPr>
          <w:rFonts w:eastAsia="Calibri" w:cstheme="minorHAnsi"/>
          <w:sz w:val="22"/>
          <w:szCs w:val="22"/>
        </w:rPr>
        <w:t xml:space="preserve">Get feedback and insights from peers about </w:t>
      </w:r>
      <w:r w:rsidR="00135815" w:rsidRPr="00967261">
        <w:rPr>
          <w:rFonts w:eastAsia="Calibri" w:cstheme="minorHAnsi"/>
          <w:sz w:val="22"/>
          <w:szCs w:val="22"/>
        </w:rPr>
        <w:t>ou</w:t>
      </w:r>
      <w:r w:rsidRPr="00967261">
        <w:rPr>
          <w:rFonts w:eastAsia="Calibri" w:cstheme="minorHAnsi"/>
          <w:sz w:val="22"/>
          <w:szCs w:val="22"/>
        </w:rPr>
        <w:t xml:space="preserve">r own classes, </w:t>
      </w:r>
      <w:r w:rsidR="00135815" w:rsidRPr="00967261">
        <w:rPr>
          <w:rFonts w:eastAsia="Calibri" w:cstheme="minorHAnsi"/>
          <w:sz w:val="22"/>
          <w:szCs w:val="22"/>
        </w:rPr>
        <w:t xml:space="preserve">challenges we anticipate or have faced related to implementing teamwork, and </w:t>
      </w:r>
      <w:r w:rsidRPr="00967261">
        <w:rPr>
          <w:rFonts w:eastAsia="Calibri" w:cstheme="minorHAnsi"/>
          <w:sz w:val="22"/>
          <w:szCs w:val="22"/>
        </w:rPr>
        <w:t>adaptations</w:t>
      </w:r>
      <w:r w:rsidR="00135815" w:rsidRPr="00967261">
        <w:rPr>
          <w:rFonts w:eastAsia="Calibri" w:cstheme="minorHAnsi"/>
          <w:sz w:val="22"/>
          <w:szCs w:val="22"/>
        </w:rPr>
        <w:t xml:space="preserve"> or </w:t>
      </w:r>
      <w:r w:rsidRPr="00967261">
        <w:rPr>
          <w:rFonts w:eastAsia="Calibri" w:cstheme="minorHAnsi"/>
          <w:sz w:val="22"/>
          <w:szCs w:val="22"/>
        </w:rPr>
        <w:t xml:space="preserve">innovations </w:t>
      </w:r>
      <w:r w:rsidR="00135815" w:rsidRPr="00967261">
        <w:rPr>
          <w:rFonts w:eastAsia="Calibri" w:cstheme="minorHAnsi"/>
          <w:sz w:val="22"/>
          <w:szCs w:val="22"/>
        </w:rPr>
        <w:t>we are</w:t>
      </w:r>
      <w:r w:rsidRPr="00967261">
        <w:rPr>
          <w:rFonts w:eastAsia="Calibri" w:cstheme="minorHAnsi"/>
          <w:sz w:val="22"/>
          <w:szCs w:val="22"/>
        </w:rPr>
        <w:t xml:space="preserve"> considering.</w:t>
      </w:r>
    </w:p>
    <w:p w:rsidR="000E3A21" w:rsidRPr="00967261" w:rsidRDefault="000E3A21" w:rsidP="0071180C">
      <w:pPr>
        <w:shd w:val="clear" w:color="auto" w:fill="FFFFFF"/>
        <w:spacing w:after="120"/>
        <w:ind w:left="360"/>
        <w:rPr>
          <w:rFonts w:eastAsia="Calibri" w:cstheme="minorHAnsi"/>
          <w:sz w:val="22"/>
          <w:szCs w:val="22"/>
        </w:rPr>
      </w:pPr>
      <w:r w:rsidRPr="00967261">
        <w:rPr>
          <w:rFonts w:eastAsia="Calibri" w:cstheme="minorHAnsi"/>
          <w:sz w:val="22"/>
          <w:szCs w:val="22"/>
        </w:rPr>
        <w:t>As outcomes of their work in this group, members of this FLC might develop data-supported solutions to a variety of challenges of teaching with teamwork</w:t>
      </w:r>
      <w:r w:rsidR="00135815" w:rsidRPr="00967261">
        <w:rPr>
          <w:rFonts w:eastAsia="Calibri" w:cstheme="minorHAnsi"/>
          <w:sz w:val="22"/>
          <w:szCs w:val="22"/>
        </w:rPr>
        <w:t>. Themes to be addressed might include</w:t>
      </w:r>
      <w:r w:rsidRPr="00967261">
        <w:rPr>
          <w:rFonts w:eastAsia="Calibri" w:cstheme="minorHAnsi"/>
          <w:sz w:val="22"/>
          <w:szCs w:val="22"/>
        </w:rPr>
        <w:t>: how to prepare teams for success by composing and charging them effectively; how to stay abreast of what’s happening inside teams; how to diagnose and help teams remedy difficulties; and how to assess teams</w:t>
      </w:r>
      <w:r w:rsidR="00135815" w:rsidRPr="00967261">
        <w:rPr>
          <w:rFonts w:eastAsia="Calibri" w:cstheme="minorHAnsi"/>
          <w:sz w:val="22"/>
          <w:szCs w:val="22"/>
        </w:rPr>
        <w:t xml:space="preserve">’ and team members’ </w:t>
      </w:r>
      <w:r w:rsidRPr="00967261">
        <w:rPr>
          <w:rFonts w:eastAsia="Calibri" w:cstheme="minorHAnsi"/>
          <w:sz w:val="22"/>
          <w:szCs w:val="22"/>
        </w:rPr>
        <w:t>developing skills and competences.</w:t>
      </w:r>
    </w:p>
    <w:p w:rsidR="000E3A21" w:rsidRPr="00967261" w:rsidRDefault="000E3A21" w:rsidP="000E3A21">
      <w:pPr>
        <w:shd w:val="clear" w:color="auto" w:fill="FFFFFF"/>
        <w:rPr>
          <w:rFonts w:eastAsia="Calibri" w:cstheme="minorHAnsi"/>
          <w:sz w:val="22"/>
          <w:szCs w:val="22"/>
        </w:rPr>
      </w:pPr>
    </w:p>
    <w:p w:rsidR="00F6228B" w:rsidRPr="00967261" w:rsidRDefault="00F6228B" w:rsidP="00751FE2">
      <w:pPr>
        <w:pStyle w:val="ListParagraph"/>
        <w:numPr>
          <w:ilvl w:val="0"/>
          <w:numId w:val="4"/>
        </w:numPr>
        <w:spacing w:after="120"/>
        <w:ind w:left="360"/>
        <w:rPr>
          <w:rFonts w:eastAsia="Calibri" w:cstheme="minorHAnsi"/>
          <w:sz w:val="22"/>
          <w:szCs w:val="22"/>
        </w:rPr>
      </w:pPr>
      <w:r w:rsidRPr="00967261">
        <w:rPr>
          <w:rFonts w:eastAsia="Calibri" w:cstheme="minorHAnsi"/>
          <w:b/>
          <w:sz w:val="22"/>
          <w:szCs w:val="22"/>
        </w:rPr>
        <w:t xml:space="preserve">Radical Vulnerability in the Classroom: Creating </w:t>
      </w:r>
      <w:r w:rsidR="00A150E4" w:rsidRPr="00967261">
        <w:rPr>
          <w:rFonts w:eastAsia="Calibri" w:cstheme="minorHAnsi"/>
          <w:b/>
          <w:sz w:val="22"/>
          <w:szCs w:val="22"/>
        </w:rPr>
        <w:t>Brave</w:t>
      </w:r>
      <w:r w:rsidRPr="00967261">
        <w:rPr>
          <w:rFonts w:eastAsia="Calibri" w:cstheme="minorHAnsi"/>
          <w:b/>
          <w:sz w:val="22"/>
          <w:szCs w:val="22"/>
        </w:rPr>
        <w:t xml:space="preserve"> Space</w:t>
      </w:r>
      <w:r w:rsidR="00D14AB7" w:rsidRPr="00967261">
        <w:rPr>
          <w:rFonts w:eastAsia="Calibri" w:cstheme="minorHAnsi"/>
          <w:b/>
          <w:sz w:val="22"/>
          <w:szCs w:val="22"/>
        </w:rPr>
        <w:t>s</w:t>
      </w:r>
      <w:r w:rsidRPr="00967261">
        <w:rPr>
          <w:rFonts w:eastAsia="Calibri" w:cstheme="minorHAnsi"/>
          <w:b/>
          <w:sz w:val="22"/>
          <w:szCs w:val="22"/>
        </w:rPr>
        <w:t xml:space="preserve"> to Engage and Deepen Learning</w:t>
      </w:r>
      <w:r w:rsidR="00BA1F2D" w:rsidRPr="00967261">
        <w:rPr>
          <w:rFonts w:eastAsia="Calibri" w:cstheme="minorHAnsi"/>
          <w:b/>
          <w:sz w:val="22"/>
          <w:szCs w:val="22"/>
        </w:rPr>
        <w:t xml:space="preserve"> </w:t>
      </w:r>
      <w:r w:rsidR="00BA1F2D" w:rsidRPr="00967261">
        <w:rPr>
          <w:rFonts w:eastAsia="Calibri" w:cstheme="minorHAnsi"/>
          <w:sz w:val="22"/>
          <w:szCs w:val="22"/>
        </w:rPr>
        <w:t>(</w:t>
      </w:r>
      <w:r w:rsidR="00967261">
        <w:rPr>
          <w:rFonts w:eastAsia="Calibri" w:cstheme="minorHAnsi"/>
          <w:sz w:val="22"/>
          <w:szCs w:val="22"/>
        </w:rPr>
        <w:t>Propos</w:t>
      </w:r>
      <w:r w:rsidRPr="00967261">
        <w:rPr>
          <w:rFonts w:eastAsia="Calibri" w:cstheme="minorHAnsi"/>
          <w:sz w:val="22"/>
          <w:szCs w:val="22"/>
        </w:rPr>
        <w:t>ed by Lauren Hamilton Edwards, School of Public Policy</w:t>
      </w:r>
      <w:r w:rsidR="00BA1F2D" w:rsidRPr="00967261">
        <w:rPr>
          <w:rFonts w:eastAsia="Calibri" w:cstheme="minorHAnsi"/>
          <w:sz w:val="22"/>
          <w:szCs w:val="22"/>
        </w:rPr>
        <w:t>)</w:t>
      </w:r>
    </w:p>
    <w:p w:rsidR="00BA1F2D" w:rsidRPr="00967261" w:rsidRDefault="00F6228B" w:rsidP="0071180C">
      <w:pPr>
        <w:spacing w:after="120"/>
        <w:ind w:left="360"/>
        <w:rPr>
          <w:rFonts w:eastAsia="Calibri" w:cstheme="minorHAnsi"/>
          <w:sz w:val="22"/>
          <w:szCs w:val="22"/>
        </w:rPr>
      </w:pPr>
      <w:proofErr w:type="spellStart"/>
      <w:r w:rsidRPr="00967261">
        <w:rPr>
          <w:rFonts w:eastAsia="Calibri" w:cstheme="minorHAnsi"/>
          <w:sz w:val="22"/>
          <w:szCs w:val="22"/>
        </w:rPr>
        <w:t>Brené</w:t>
      </w:r>
      <w:proofErr w:type="spellEnd"/>
      <w:r w:rsidRPr="00967261">
        <w:rPr>
          <w:rFonts w:eastAsia="Calibri" w:cstheme="minorHAnsi"/>
          <w:sz w:val="22"/>
          <w:szCs w:val="22"/>
        </w:rPr>
        <w:t xml:space="preserve"> Brown</w:t>
      </w:r>
      <w:r w:rsidR="00F36C24" w:rsidRPr="00967261">
        <w:rPr>
          <w:rFonts w:eastAsia="Calibri" w:cstheme="minorHAnsi"/>
          <w:sz w:val="22"/>
          <w:szCs w:val="22"/>
        </w:rPr>
        <w:t xml:space="preserve"> (Ph.D., Social Work)</w:t>
      </w:r>
      <w:r w:rsidRPr="00967261">
        <w:rPr>
          <w:rFonts w:eastAsia="Calibri" w:cstheme="minorHAnsi"/>
          <w:sz w:val="22"/>
          <w:szCs w:val="22"/>
        </w:rPr>
        <w:t xml:space="preserve"> put the language of shame and vulnerability into societal discourse with her </w:t>
      </w:r>
      <w:r w:rsidR="00BA1F2D" w:rsidRPr="00967261">
        <w:rPr>
          <w:rFonts w:eastAsia="Calibri" w:cstheme="minorHAnsi"/>
          <w:sz w:val="22"/>
          <w:szCs w:val="22"/>
        </w:rPr>
        <w:t xml:space="preserve">very popular </w:t>
      </w:r>
      <w:hyperlink r:id="rId10" w:history="1">
        <w:r w:rsidRPr="00967261">
          <w:rPr>
            <w:rStyle w:val="Hyperlink"/>
            <w:rFonts w:eastAsia="Calibri" w:cstheme="minorHAnsi"/>
            <w:sz w:val="22"/>
            <w:szCs w:val="22"/>
          </w:rPr>
          <w:t>TED Talk in 2014</w:t>
        </w:r>
      </w:hyperlink>
      <w:r w:rsidRPr="00967261">
        <w:rPr>
          <w:rFonts w:eastAsia="Calibri" w:cstheme="minorHAnsi"/>
          <w:sz w:val="22"/>
          <w:szCs w:val="22"/>
        </w:rPr>
        <w:t>. Her numerous books and media appearances make it clear that what she says</w:t>
      </w:r>
      <w:r w:rsidR="00BA1F2D" w:rsidRPr="00967261">
        <w:rPr>
          <w:rFonts w:eastAsia="Calibri" w:cstheme="minorHAnsi"/>
          <w:sz w:val="22"/>
          <w:szCs w:val="22"/>
        </w:rPr>
        <w:t xml:space="preserve"> about these topics </w:t>
      </w:r>
      <w:r w:rsidRPr="00967261">
        <w:rPr>
          <w:rFonts w:eastAsia="Calibri" w:cstheme="minorHAnsi"/>
          <w:sz w:val="22"/>
          <w:szCs w:val="22"/>
        </w:rPr>
        <w:t>resonates widely</w:t>
      </w:r>
      <w:r w:rsidR="00BA1F2D" w:rsidRPr="00967261">
        <w:rPr>
          <w:rFonts w:eastAsia="Calibri" w:cstheme="minorHAnsi"/>
          <w:sz w:val="22"/>
          <w:szCs w:val="22"/>
        </w:rPr>
        <w:t>. Brown’s</w:t>
      </w:r>
      <w:r w:rsidRPr="00967261">
        <w:rPr>
          <w:rFonts w:eastAsia="Calibri" w:cstheme="minorHAnsi"/>
          <w:sz w:val="22"/>
          <w:szCs w:val="22"/>
        </w:rPr>
        <w:t xml:space="preserve"> work is based on years of research on the role of shame in our lives and the impact of that shame on families, relationships, and organizations.</w:t>
      </w:r>
      <w:r w:rsidR="000D01E7" w:rsidRPr="00967261">
        <w:rPr>
          <w:rFonts w:eastAsia="Calibri" w:cstheme="minorHAnsi"/>
          <w:sz w:val="22"/>
          <w:szCs w:val="22"/>
        </w:rPr>
        <w:t xml:space="preserve"> Showing vulnerability, she argues, is crucial to moving beyond shame and fear in order to unlock creativity, </w:t>
      </w:r>
      <w:r w:rsidR="00A150E4" w:rsidRPr="00967261">
        <w:rPr>
          <w:rFonts w:eastAsia="Calibri" w:cstheme="minorHAnsi"/>
          <w:sz w:val="22"/>
          <w:szCs w:val="22"/>
        </w:rPr>
        <w:t>innovation, a sense of connection, and joy.</w:t>
      </w:r>
      <w:r w:rsidRPr="00967261">
        <w:rPr>
          <w:rFonts w:eastAsia="Calibri" w:cstheme="minorHAnsi"/>
          <w:sz w:val="22"/>
          <w:szCs w:val="22"/>
        </w:rPr>
        <w:t xml:space="preserve"> </w:t>
      </w:r>
      <w:r w:rsidR="00BA1F2D" w:rsidRPr="00967261">
        <w:rPr>
          <w:rFonts w:eastAsia="Calibri" w:cstheme="minorHAnsi"/>
          <w:sz w:val="22"/>
          <w:szCs w:val="22"/>
        </w:rPr>
        <w:t>Her findings extend to</w:t>
      </w:r>
      <w:r w:rsidRPr="00967261">
        <w:rPr>
          <w:rFonts w:eastAsia="Calibri" w:cstheme="minorHAnsi"/>
          <w:sz w:val="22"/>
          <w:szCs w:val="22"/>
        </w:rPr>
        <w:t xml:space="preserve"> the academy</w:t>
      </w:r>
      <w:r w:rsidR="00BA1F2D" w:rsidRPr="00967261">
        <w:rPr>
          <w:rFonts w:eastAsia="Calibri" w:cstheme="minorHAnsi"/>
          <w:sz w:val="22"/>
          <w:szCs w:val="22"/>
        </w:rPr>
        <w:t>,</w:t>
      </w:r>
      <w:r w:rsidRPr="00967261">
        <w:rPr>
          <w:rFonts w:eastAsia="Calibri" w:cstheme="minorHAnsi"/>
          <w:sz w:val="22"/>
          <w:szCs w:val="22"/>
        </w:rPr>
        <w:t xml:space="preserve"> where </w:t>
      </w:r>
      <w:r w:rsidR="00A150E4" w:rsidRPr="00967261">
        <w:rPr>
          <w:rFonts w:eastAsia="Calibri" w:cstheme="minorHAnsi"/>
          <w:sz w:val="22"/>
          <w:szCs w:val="22"/>
        </w:rPr>
        <w:t xml:space="preserve">fear and </w:t>
      </w:r>
      <w:r w:rsidRPr="00967261">
        <w:rPr>
          <w:rFonts w:eastAsia="Calibri" w:cstheme="minorHAnsi"/>
          <w:sz w:val="22"/>
          <w:szCs w:val="22"/>
        </w:rPr>
        <w:t>shame seem to</w:t>
      </w:r>
      <w:r w:rsidR="00BA1F2D" w:rsidRPr="00967261">
        <w:rPr>
          <w:rFonts w:eastAsia="Calibri" w:cstheme="minorHAnsi"/>
          <w:sz w:val="22"/>
          <w:szCs w:val="22"/>
        </w:rPr>
        <w:t xml:space="preserve"> be</w:t>
      </w:r>
      <w:r w:rsidRPr="00967261">
        <w:rPr>
          <w:rFonts w:eastAsia="Calibri" w:cstheme="minorHAnsi"/>
          <w:sz w:val="22"/>
          <w:szCs w:val="22"/>
        </w:rPr>
        <w:t xml:space="preserve"> prevalent in the student-instructor relationship. The idea that this FLC will explore is whether and how radical vulnerability in the classroom could build a better environment for students to learn and build confidence for their future lives. </w:t>
      </w:r>
    </w:p>
    <w:p w:rsidR="00F6228B" w:rsidRPr="00967261" w:rsidRDefault="00F6228B" w:rsidP="0071180C">
      <w:pPr>
        <w:spacing w:after="120"/>
        <w:ind w:left="360"/>
        <w:rPr>
          <w:rFonts w:eastAsia="Calibri" w:cstheme="minorHAnsi"/>
          <w:sz w:val="22"/>
          <w:szCs w:val="22"/>
        </w:rPr>
      </w:pPr>
      <w:r w:rsidRPr="00967261">
        <w:rPr>
          <w:rFonts w:eastAsia="Calibri" w:cstheme="minorHAnsi"/>
          <w:sz w:val="22"/>
          <w:szCs w:val="22"/>
        </w:rPr>
        <w:t xml:space="preserve">Through reading various works like </w:t>
      </w:r>
      <w:r w:rsidRPr="00967261">
        <w:rPr>
          <w:rFonts w:eastAsia="Calibri" w:cstheme="minorHAnsi"/>
          <w:i/>
          <w:sz w:val="22"/>
          <w:szCs w:val="22"/>
        </w:rPr>
        <w:t>The Spark of Learning: Energizing the College Classroom with the Science of Emotion</w:t>
      </w:r>
      <w:r w:rsidRPr="00967261">
        <w:rPr>
          <w:rFonts w:eastAsia="Calibri" w:cstheme="minorHAnsi"/>
          <w:sz w:val="22"/>
          <w:szCs w:val="22"/>
        </w:rPr>
        <w:t xml:space="preserve"> and guided discussions, this group will investigate how to create </w:t>
      </w:r>
      <w:r w:rsidR="00A150E4" w:rsidRPr="00967261">
        <w:rPr>
          <w:rFonts w:eastAsia="Calibri" w:cstheme="minorHAnsi"/>
          <w:sz w:val="22"/>
          <w:szCs w:val="22"/>
        </w:rPr>
        <w:t>brave</w:t>
      </w:r>
      <w:r w:rsidRPr="00967261">
        <w:rPr>
          <w:rFonts w:eastAsia="Calibri" w:cstheme="minorHAnsi"/>
          <w:sz w:val="22"/>
          <w:szCs w:val="22"/>
        </w:rPr>
        <w:t xml:space="preserve"> spaces in our classrooms and relationships with students. Th</w:t>
      </w:r>
      <w:r w:rsidR="00BA1F2D" w:rsidRPr="00967261">
        <w:rPr>
          <w:rFonts w:eastAsia="Calibri" w:cstheme="minorHAnsi"/>
          <w:sz w:val="22"/>
          <w:szCs w:val="22"/>
        </w:rPr>
        <w:t>e</w:t>
      </w:r>
      <w:r w:rsidRPr="00967261">
        <w:rPr>
          <w:rFonts w:eastAsia="Calibri" w:cstheme="minorHAnsi"/>
          <w:sz w:val="22"/>
          <w:szCs w:val="22"/>
        </w:rPr>
        <w:t xml:space="preserve"> group </w:t>
      </w:r>
      <w:r w:rsidR="00BA1F2D" w:rsidRPr="00967261">
        <w:rPr>
          <w:rFonts w:eastAsia="Calibri" w:cstheme="minorHAnsi"/>
          <w:sz w:val="22"/>
          <w:szCs w:val="22"/>
        </w:rPr>
        <w:t>should</w:t>
      </w:r>
      <w:r w:rsidRPr="00967261">
        <w:rPr>
          <w:rFonts w:eastAsia="Calibri" w:cstheme="minorHAnsi"/>
          <w:sz w:val="22"/>
          <w:szCs w:val="22"/>
        </w:rPr>
        <w:t xml:space="preserve"> be of </w:t>
      </w:r>
      <w:r w:rsidR="00BA1F2D" w:rsidRPr="00967261">
        <w:rPr>
          <w:rFonts w:eastAsia="Calibri" w:cstheme="minorHAnsi"/>
          <w:sz w:val="22"/>
          <w:szCs w:val="22"/>
        </w:rPr>
        <w:t xml:space="preserve">broad </w:t>
      </w:r>
      <w:r w:rsidRPr="00967261">
        <w:rPr>
          <w:rFonts w:eastAsia="Calibri" w:cstheme="minorHAnsi"/>
          <w:sz w:val="22"/>
          <w:szCs w:val="22"/>
        </w:rPr>
        <w:t>interest to instructors who teach</w:t>
      </w:r>
      <w:r w:rsidR="00BA1F2D" w:rsidRPr="00967261">
        <w:rPr>
          <w:rFonts w:eastAsia="Calibri" w:cstheme="minorHAnsi"/>
          <w:sz w:val="22"/>
          <w:szCs w:val="22"/>
        </w:rPr>
        <w:t xml:space="preserve"> in a range of environments, from those who teach</w:t>
      </w:r>
      <w:r w:rsidRPr="00967261">
        <w:rPr>
          <w:rFonts w:eastAsia="Calibri" w:cstheme="minorHAnsi"/>
          <w:sz w:val="22"/>
          <w:szCs w:val="22"/>
        </w:rPr>
        <w:t xml:space="preserve"> large introductory undergraduate courses to those whose primary teaching responsibilities are as dissertation/thesis chairs. </w:t>
      </w:r>
    </w:p>
    <w:p w:rsidR="0064024C" w:rsidRPr="00967261" w:rsidRDefault="0064024C" w:rsidP="0064024C">
      <w:pPr>
        <w:rPr>
          <w:rFonts w:cstheme="minorHAnsi"/>
          <w:b/>
          <w:sz w:val="22"/>
          <w:szCs w:val="22"/>
        </w:rPr>
      </w:pPr>
    </w:p>
    <w:p w:rsidR="006328CC" w:rsidRPr="00967261" w:rsidRDefault="006328CC" w:rsidP="00751FE2">
      <w:pPr>
        <w:pStyle w:val="ListParagraph"/>
        <w:numPr>
          <w:ilvl w:val="0"/>
          <w:numId w:val="4"/>
        </w:numPr>
        <w:shd w:val="clear" w:color="auto" w:fill="FFFFFF"/>
        <w:spacing w:after="120"/>
        <w:ind w:left="360"/>
        <w:rPr>
          <w:rFonts w:eastAsia="Calibri" w:cstheme="minorHAnsi"/>
          <w:sz w:val="22"/>
          <w:szCs w:val="22"/>
        </w:rPr>
      </w:pPr>
      <w:r w:rsidRPr="00967261">
        <w:rPr>
          <w:rFonts w:eastAsia="Calibri" w:cstheme="minorHAnsi"/>
          <w:b/>
          <w:sz w:val="22"/>
          <w:szCs w:val="22"/>
        </w:rPr>
        <w:t xml:space="preserve">Seeing White: The </w:t>
      </w:r>
      <w:r w:rsidR="00404ED7" w:rsidRPr="00967261">
        <w:rPr>
          <w:rFonts w:eastAsia="Calibri" w:cstheme="minorHAnsi"/>
          <w:b/>
          <w:sz w:val="22"/>
          <w:szCs w:val="22"/>
        </w:rPr>
        <w:t>I</w:t>
      </w:r>
      <w:r w:rsidRPr="00967261">
        <w:rPr>
          <w:rFonts w:eastAsia="Calibri" w:cstheme="minorHAnsi"/>
          <w:b/>
          <w:sz w:val="22"/>
          <w:szCs w:val="22"/>
        </w:rPr>
        <w:t xml:space="preserve">nfluence of </w:t>
      </w:r>
      <w:r w:rsidR="00404ED7" w:rsidRPr="00967261">
        <w:rPr>
          <w:rFonts w:eastAsia="Calibri" w:cstheme="minorHAnsi"/>
          <w:b/>
          <w:sz w:val="22"/>
          <w:szCs w:val="22"/>
        </w:rPr>
        <w:t>Structural and Institutional R</w:t>
      </w:r>
      <w:r w:rsidRPr="00967261">
        <w:rPr>
          <w:rFonts w:eastAsia="Calibri" w:cstheme="minorHAnsi"/>
          <w:b/>
          <w:sz w:val="22"/>
          <w:szCs w:val="22"/>
        </w:rPr>
        <w:t xml:space="preserve">acism on </w:t>
      </w:r>
      <w:r w:rsidR="00F36C24" w:rsidRPr="00967261">
        <w:rPr>
          <w:rFonts w:eastAsia="Calibri" w:cstheme="minorHAnsi"/>
          <w:b/>
          <w:sz w:val="22"/>
          <w:szCs w:val="22"/>
        </w:rPr>
        <w:t>Teaching and Learning</w:t>
      </w:r>
      <w:r w:rsidR="00DA53EC">
        <w:rPr>
          <w:rFonts w:eastAsia="Calibri" w:cstheme="minorHAnsi"/>
          <w:b/>
          <w:sz w:val="22"/>
          <w:szCs w:val="22"/>
        </w:rPr>
        <w:t xml:space="preserve"> in</w:t>
      </w:r>
      <w:bookmarkStart w:id="0" w:name="_GoBack"/>
      <w:bookmarkEnd w:id="0"/>
      <w:r w:rsidR="00F36C24" w:rsidRPr="00967261">
        <w:rPr>
          <w:rFonts w:eastAsia="Calibri" w:cstheme="minorHAnsi"/>
          <w:b/>
          <w:sz w:val="22"/>
          <w:szCs w:val="22"/>
        </w:rPr>
        <w:t xml:space="preserve"> </w:t>
      </w:r>
      <w:r w:rsidR="00404ED7" w:rsidRPr="00967261">
        <w:rPr>
          <w:rFonts w:eastAsia="Calibri" w:cstheme="minorHAnsi"/>
          <w:b/>
          <w:sz w:val="22"/>
          <w:szCs w:val="22"/>
        </w:rPr>
        <w:t>H</w:t>
      </w:r>
      <w:r w:rsidRPr="00967261">
        <w:rPr>
          <w:rFonts w:eastAsia="Calibri" w:cstheme="minorHAnsi"/>
          <w:b/>
          <w:sz w:val="22"/>
          <w:szCs w:val="22"/>
        </w:rPr>
        <w:t xml:space="preserve">igher </w:t>
      </w:r>
      <w:r w:rsidR="00404ED7" w:rsidRPr="00967261">
        <w:rPr>
          <w:rFonts w:eastAsia="Calibri" w:cstheme="minorHAnsi"/>
          <w:b/>
          <w:sz w:val="22"/>
          <w:szCs w:val="22"/>
        </w:rPr>
        <w:t>E</w:t>
      </w:r>
      <w:r w:rsidRPr="00967261">
        <w:rPr>
          <w:rFonts w:eastAsia="Calibri" w:cstheme="minorHAnsi"/>
          <w:b/>
          <w:sz w:val="22"/>
          <w:szCs w:val="22"/>
        </w:rPr>
        <w:t xml:space="preserve">ducation </w:t>
      </w:r>
      <w:r w:rsidRPr="00967261">
        <w:rPr>
          <w:rFonts w:eastAsia="Calibri" w:cstheme="minorHAnsi"/>
          <w:sz w:val="22"/>
          <w:szCs w:val="22"/>
        </w:rPr>
        <w:t>(</w:t>
      </w:r>
      <w:r w:rsidR="00967261">
        <w:rPr>
          <w:rFonts w:eastAsia="Calibri" w:cstheme="minorHAnsi"/>
          <w:sz w:val="22"/>
          <w:szCs w:val="22"/>
        </w:rPr>
        <w:t>Proposed by</w:t>
      </w:r>
      <w:r w:rsidRPr="00967261">
        <w:rPr>
          <w:rFonts w:eastAsia="Calibri" w:cstheme="minorHAnsi"/>
          <w:sz w:val="22"/>
          <w:szCs w:val="22"/>
        </w:rPr>
        <w:t xml:space="preserve"> M. Nicole </w:t>
      </w:r>
      <w:proofErr w:type="spellStart"/>
      <w:r w:rsidRPr="00967261">
        <w:rPr>
          <w:rFonts w:eastAsia="Calibri" w:cstheme="minorHAnsi"/>
          <w:sz w:val="22"/>
          <w:szCs w:val="22"/>
        </w:rPr>
        <w:t>Belfiore</w:t>
      </w:r>
      <w:proofErr w:type="spellEnd"/>
      <w:r w:rsidRPr="00967261">
        <w:rPr>
          <w:rFonts w:eastAsia="Calibri" w:cstheme="minorHAnsi"/>
          <w:sz w:val="22"/>
          <w:szCs w:val="22"/>
        </w:rPr>
        <w:t xml:space="preserve">, Social Work)  </w:t>
      </w:r>
    </w:p>
    <w:p w:rsidR="006328CC" w:rsidRPr="00967261" w:rsidRDefault="006328CC" w:rsidP="0071180C">
      <w:pPr>
        <w:shd w:val="clear" w:color="auto" w:fill="FFFFFF"/>
        <w:spacing w:after="120"/>
        <w:ind w:left="360"/>
        <w:rPr>
          <w:rFonts w:eastAsia="Calibri" w:cstheme="minorHAnsi"/>
          <w:sz w:val="22"/>
          <w:szCs w:val="22"/>
        </w:rPr>
      </w:pPr>
      <w:r w:rsidRPr="00967261">
        <w:rPr>
          <w:rFonts w:eastAsia="Calibri" w:cstheme="minorHAnsi"/>
          <w:sz w:val="22"/>
          <w:szCs w:val="22"/>
        </w:rPr>
        <w:t>Race issues are important to faculty and staff in institutions of higher education in general and at UMBC in particular. Structural and institutional racism interact with our subject matter, our students’ experiences, and the entire enterprise of higher education.</w:t>
      </w:r>
    </w:p>
    <w:p w:rsidR="006328CC" w:rsidRPr="00967261" w:rsidRDefault="006328CC" w:rsidP="0071180C">
      <w:pPr>
        <w:shd w:val="clear" w:color="auto" w:fill="FFFFFF"/>
        <w:spacing w:after="120"/>
        <w:ind w:left="360"/>
        <w:rPr>
          <w:rFonts w:eastAsia="Calibri" w:cstheme="minorHAnsi"/>
          <w:sz w:val="22"/>
          <w:szCs w:val="22"/>
        </w:rPr>
      </w:pPr>
      <w:r w:rsidRPr="00967261">
        <w:rPr>
          <w:rFonts w:eastAsia="Calibri" w:cstheme="minorHAnsi"/>
          <w:sz w:val="22"/>
          <w:szCs w:val="22"/>
        </w:rPr>
        <w:t xml:space="preserve">This faculty learning community will be based </w:t>
      </w:r>
      <w:r w:rsidR="00404ED7" w:rsidRPr="00967261">
        <w:rPr>
          <w:rFonts w:eastAsia="Calibri" w:cstheme="minorHAnsi"/>
          <w:sz w:val="22"/>
          <w:szCs w:val="22"/>
        </w:rPr>
        <w:t>primari</w:t>
      </w:r>
      <w:r w:rsidRPr="00967261">
        <w:rPr>
          <w:rFonts w:eastAsia="Calibri" w:cstheme="minorHAnsi"/>
          <w:sz w:val="22"/>
          <w:szCs w:val="22"/>
        </w:rPr>
        <w:t xml:space="preserve">ly on the podcast </w:t>
      </w:r>
      <w:hyperlink r:id="rId11" w:history="1">
        <w:r w:rsidRPr="00967261">
          <w:rPr>
            <w:rStyle w:val="Hyperlink"/>
            <w:rFonts w:eastAsia="Calibri" w:cstheme="minorHAnsi"/>
            <w:sz w:val="22"/>
            <w:szCs w:val="22"/>
          </w:rPr>
          <w:t>“Seeing White,”</w:t>
        </w:r>
      </w:hyperlink>
      <w:r w:rsidRPr="00967261">
        <w:rPr>
          <w:rFonts w:eastAsia="Calibri" w:cstheme="minorHAnsi"/>
          <w:sz w:val="22"/>
          <w:szCs w:val="22"/>
        </w:rPr>
        <w:t xml:space="preserve"> a 14-episode, Peabody-nominated series produced by the Center for Documentary Studies at Duke University. The podcast explores institutional and structural racism in America, focusing on the historical development of the concept of whiteness</w:t>
      </w:r>
      <w:r w:rsidR="00D62EB9" w:rsidRPr="00967261">
        <w:rPr>
          <w:sz w:val="22"/>
          <w:szCs w:val="22"/>
          <w:shd w:val="clear" w:color="auto" w:fill="FFFFFF"/>
        </w:rPr>
        <w:t xml:space="preserve"> to challenge the widely held belief that race and </w:t>
      </w:r>
      <w:r w:rsidR="00404ED7" w:rsidRPr="00967261">
        <w:rPr>
          <w:sz w:val="22"/>
          <w:szCs w:val="22"/>
          <w:shd w:val="clear" w:color="auto" w:fill="FFFFFF"/>
        </w:rPr>
        <w:t>r</w:t>
      </w:r>
      <w:r w:rsidR="00D62EB9" w:rsidRPr="00967261">
        <w:rPr>
          <w:sz w:val="22"/>
          <w:szCs w:val="22"/>
          <w:shd w:val="clear" w:color="auto" w:fill="FFFFFF"/>
        </w:rPr>
        <w:t>acial hierarchies are a natural aspect of being human. </w:t>
      </w:r>
      <w:r w:rsidRPr="00967261">
        <w:rPr>
          <w:rFonts w:eastAsia="Calibri" w:cstheme="minorHAnsi"/>
          <w:sz w:val="22"/>
          <w:szCs w:val="22"/>
        </w:rPr>
        <w:t>Podcast commentators</w:t>
      </w:r>
      <w:r w:rsidR="00D62EB9" w:rsidRPr="00967261">
        <w:rPr>
          <w:rFonts w:eastAsia="Calibri" w:cstheme="minorHAnsi"/>
          <w:sz w:val="22"/>
          <w:szCs w:val="22"/>
        </w:rPr>
        <w:t xml:space="preserve"> John </w:t>
      </w:r>
      <w:proofErr w:type="spellStart"/>
      <w:r w:rsidR="00D62EB9" w:rsidRPr="00967261">
        <w:rPr>
          <w:rFonts w:eastAsia="Calibri" w:cstheme="minorHAnsi"/>
          <w:sz w:val="22"/>
          <w:szCs w:val="22"/>
        </w:rPr>
        <w:t>Biewen</w:t>
      </w:r>
      <w:proofErr w:type="spellEnd"/>
      <w:r w:rsidR="00D62EB9" w:rsidRPr="00967261">
        <w:rPr>
          <w:rFonts w:eastAsia="Calibri" w:cstheme="minorHAnsi"/>
          <w:sz w:val="22"/>
          <w:szCs w:val="22"/>
        </w:rPr>
        <w:t xml:space="preserve"> and </w:t>
      </w:r>
      <w:proofErr w:type="spellStart"/>
      <w:r w:rsidR="00D62EB9" w:rsidRPr="00967261">
        <w:rPr>
          <w:rFonts w:eastAsia="Calibri" w:cstheme="minorHAnsi"/>
          <w:sz w:val="22"/>
          <w:szCs w:val="22"/>
        </w:rPr>
        <w:t>Chenjerai</w:t>
      </w:r>
      <w:proofErr w:type="spellEnd"/>
      <w:r w:rsidR="00D62EB9" w:rsidRPr="00967261">
        <w:rPr>
          <w:rFonts w:eastAsia="Calibri" w:cstheme="minorHAnsi"/>
          <w:sz w:val="22"/>
          <w:szCs w:val="22"/>
        </w:rPr>
        <w:t xml:space="preserve"> Kumanyika</w:t>
      </w:r>
      <w:r w:rsidRPr="00967261">
        <w:rPr>
          <w:rFonts w:eastAsia="Calibri" w:cstheme="minorHAnsi"/>
          <w:sz w:val="22"/>
          <w:szCs w:val="22"/>
        </w:rPr>
        <w:t xml:space="preserve"> consider the implications of contemporary thinking about race and responses to racism in America</w:t>
      </w:r>
      <w:r w:rsidR="00D62EB9" w:rsidRPr="00967261">
        <w:rPr>
          <w:rFonts w:eastAsia="Calibri" w:cstheme="minorHAnsi"/>
          <w:sz w:val="22"/>
          <w:szCs w:val="22"/>
        </w:rPr>
        <w:t xml:space="preserve"> to</w:t>
      </w:r>
      <w:r w:rsidRPr="00967261">
        <w:rPr>
          <w:rFonts w:eastAsia="Calibri" w:cstheme="minorHAnsi"/>
          <w:sz w:val="22"/>
          <w:szCs w:val="22"/>
        </w:rPr>
        <w:t xml:space="preserve"> stimulate reflection and discourse</w:t>
      </w:r>
      <w:r w:rsidR="00D62EB9" w:rsidRPr="00967261">
        <w:rPr>
          <w:rFonts w:eastAsia="Calibri" w:cstheme="minorHAnsi"/>
          <w:sz w:val="22"/>
          <w:szCs w:val="22"/>
        </w:rPr>
        <w:t xml:space="preserve"> among listeners</w:t>
      </w:r>
      <w:r w:rsidRPr="00967261">
        <w:rPr>
          <w:rFonts w:eastAsia="Calibri" w:cstheme="minorHAnsi"/>
          <w:sz w:val="22"/>
          <w:szCs w:val="22"/>
        </w:rPr>
        <w:t>.</w:t>
      </w:r>
    </w:p>
    <w:p w:rsidR="006328CC" w:rsidRPr="00967261" w:rsidRDefault="006328CC" w:rsidP="0071180C">
      <w:pPr>
        <w:shd w:val="clear" w:color="auto" w:fill="FFFFFF"/>
        <w:spacing w:after="120"/>
        <w:ind w:left="360"/>
        <w:rPr>
          <w:rFonts w:eastAsia="Calibri" w:cstheme="minorHAnsi"/>
          <w:sz w:val="22"/>
          <w:szCs w:val="22"/>
        </w:rPr>
      </w:pPr>
      <w:r w:rsidRPr="00967261">
        <w:rPr>
          <w:rFonts w:eastAsia="Calibri" w:cstheme="minorHAnsi"/>
          <w:sz w:val="22"/>
          <w:szCs w:val="22"/>
        </w:rPr>
        <w:lastRenderedPageBreak/>
        <w:t>Using the podcast as a backdrop, the learning community will explore the influence of rac</w:t>
      </w:r>
      <w:r w:rsidR="00BB1BD4">
        <w:rPr>
          <w:rFonts w:eastAsia="Calibri" w:cstheme="minorHAnsi"/>
          <w:sz w:val="22"/>
          <w:szCs w:val="22"/>
        </w:rPr>
        <w:t>e</w:t>
      </w:r>
      <w:r w:rsidRPr="00967261">
        <w:rPr>
          <w:rFonts w:eastAsia="Calibri" w:cstheme="minorHAnsi"/>
          <w:sz w:val="22"/>
          <w:szCs w:val="22"/>
        </w:rPr>
        <w:t xml:space="preserve"> and structural racism in our work in academia. Questions might include: How can we integrate learning content about the institutional and structural racism intrinsic </w:t>
      </w:r>
      <w:r w:rsidR="00BB1BD4">
        <w:rPr>
          <w:rFonts w:eastAsia="Calibri" w:cstheme="minorHAnsi"/>
          <w:sz w:val="22"/>
          <w:szCs w:val="22"/>
        </w:rPr>
        <w:t>in</w:t>
      </w:r>
      <w:r w:rsidRPr="00967261">
        <w:rPr>
          <w:rFonts w:eastAsia="Calibri" w:cstheme="minorHAnsi"/>
          <w:sz w:val="22"/>
          <w:szCs w:val="22"/>
        </w:rPr>
        <w:t>to our disciplines?  How do racist institutions affect our students’ lives and learning experiences at UMBC? What is our obligation to develop awareness of those effects? How does UMBC, as a societal instituti</w:t>
      </w:r>
      <w:r w:rsidR="00220EAE">
        <w:rPr>
          <w:rFonts w:eastAsia="Calibri" w:cstheme="minorHAnsi"/>
          <w:sz w:val="22"/>
          <w:szCs w:val="22"/>
        </w:rPr>
        <w:t>on, perpetuate or mitigate race-</w:t>
      </w:r>
      <w:r w:rsidRPr="00967261">
        <w:rPr>
          <w:rFonts w:eastAsia="Calibri" w:cstheme="minorHAnsi"/>
          <w:sz w:val="22"/>
          <w:szCs w:val="22"/>
        </w:rPr>
        <w:t xml:space="preserve">based oppression or discrimination? What is our obligation to work toward </w:t>
      </w:r>
      <w:r w:rsidR="00220EAE">
        <w:rPr>
          <w:rFonts w:eastAsia="Calibri" w:cstheme="minorHAnsi"/>
          <w:sz w:val="22"/>
          <w:szCs w:val="22"/>
        </w:rPr>
        <w:t>racial</w:t>
      </w:r>
      <w:r w:rsidRPr="00967261">
        <w:rPr>
          <w:rFonts w:eastAsia="Calibri" w:cstheme="minorHAnsi"/>
          <w:sz w:val="22"/>
          <w:szCs w:val="22"/>
        </w:rPr>
        <w:t xml:space="preserve"> justice within and beyond our institution</w:t>
      </w:r>
      <w:r w:rsidR="00967261">
        <w:rPr>
          <w:rFonts w:eastAsia="Calibri" w:cstheme="minorHAnsi"/>
          <w:sz w:val="22"/>
          <w:szCs w:val="22"/>
        </w:rPr>
        <w:t xml:space="preserve">? Deliverables might include plans for course projects or a series of </w:t>
      </w:r>
      <w:r w:rsidRPr="00967261">
        <w:rPr>
          <w:rFonts w:eastAsia="Calibri" w:cstheme="minorHAnsi"/>
          <w:sz w:val="22"/>
          <w:szCs w:val="22"/>
        </w:rPr>
        <w:t>classroom</w:t>
      </w:r>
      <w:r w:rsidR="00967261">
        <w:rPr>
          <w:rFonts w:eastAsia="Calibri" w:cstheme="minorHAnsi"/>
          <w:sz w:val="22"/>
          <w:szCs w:val="22"/>
        </w:rPr>
        <w:t xml:space="preserve"> activities to address </w:t>
      </w:r>
      <w:r w:rsidRPr="00967261">
        <w:rPr>
          <w:rFonts w:eastAsia="Calibri" w:cstheme="minorHAnsi"/>
          <w:sz w:val="22"/>
          <w:szCs w:val="22"/>
        </w:rPr>
        <w:t xml:space="preserve">institutional and structural race issues.   </w:t>
      </w:r>
    </w:p>
    <w:sectPr w:rsidR="006328CC" w:rsidRPr="00967261" w:rsidSect="008E559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DC" w:rsidRDefault="000337DC">
      <w:r>
        <w:separator/>
      </w:r>
    </w:p>
  </w:endnote>
  <w:endnote w:type="continuationSeparator" w:id="0">
    <w:p w:rsidR="000337DC" w:rsidRDefault="000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B9" w:rsidRDefault="00D62EB9">
    <w:pPr>
      <w:pStyle w:val="Footer"/>
      <w:tabs>
        <w:tab w:val="clear" w:pos="4680"/>
        <w:tab w:val="clear" w:pos="9360"/>
      </w:tabs>
      <w:jc w:val="center"/>
      <w:rPr>
        <w:caps/>
        <w:noProof/>
        <w:color w:val="4F81BD" w:themeColor="accent1"/>
      </w:rPr>
    </w:pPr>
    <w:r w:rsidRPr="00D107AF">
      <w:rPr>
        <w:caps/>
      </w:rPr>
      <w:fldChar w:fldCharType="begin"/>
    </w:r>
    <w:r w:rsidRPr="00D107AF">
      <w:rPr>
        <w:caps/>
      </w:rPr>
      <w:instrText xml:space="preserve"> PAGE   \* MERGEFORMAT </w:instrText>
    </w:r>
    <w:r w:rsidRPr="00D107AF">
      <w:rPr>
        <w:caps/>
      </w:rPr>
      <w:fldChar w:fldCharType="separate"/>
    </w:r>
    <w:r w:rsidR="00DA53EC">
      <w:rPr>
        <w:caps/>
        <w:noProof/>
      </w:rPr>
      <w:t>4</w:t>
    </w:r>
    <w:r w:rsidRPr="00D107AF">
      <w:rPr>
        <w:caps/>
        <w:noProof/>
      </w:rPr>
      <w:fldChar w:fldCharType="end"/>
    </w:r>
  </w:p>
  <w:p w:rsidR="00D62EB9" w:rsidRDefault="00D62EB9"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DC" w:rsidRDefault="000337DC">
      <w:r>
        <w:separator/>
      </w:r>
    </w:p>
  </w:footnote>
  <w:footnote w:type="continuationSeparator" w:id="0">
    <w:p w:rsidR="000337DC" w:rsidRDefault="000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4311"/>
    <w:multiLevelType w:val="hybridMultilevel"/>
    <w:tmpl w:val="66B8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C05081"/>
    <w:multiLevelType w:val="hybridMultilevel"/>
    <w:tmpl w:val="6468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363E4"/>
    <w:multiLevelType w:val="hybridMultilevel"/>
    <w:tmpl w:val="7F88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74D3C"/>
    <w:multiLevelType w:val="hybridMultilevel"/>
    <w:tmpl w:val="F4749F02"/>
    <w:lvl w:ilvl="0" w:tplc="8E447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9"/>
    <w:rsid w:val="000077BD"/>
    <w:rsid w:val="00017DD1"/>
    <w:rsid w:val="00032E90"/>
    <w:rsid w:val="000332AD"/>
    <w:rsid w:val="000337DC"/>
    <w:rsid w:val="000447ED"/>
    <w:rsid w:val="00045D75"/>
    <w:rsid w:val="000655B3"/>
    <w:rsid w:val="00085333"/>
    <w:rsid w:val="0009512B"/>
    <w:rsid w:val="000A114C"/>
    <w:rsid w:val="000B3DF2"/>
    <w:rsid w:val="000C0676"/>
    <w:rsid w:val="000C305F"/>
    <w:rsid w:val="000C3395"/>
    <w:rsid w:val="000D01E7"/>
    <w:rsid w:val="000D51DF"/>
    <w:rsid w:val="000E2704"/>
    <w:rsid w:val="000E3A21"/>
    <w:rsid w:val="0011649E"/>
    <w:rsid w:val="00135815"/>
    <w:rsid w:val="0016303A"/>
    <w:rsid w:val="0017627C"/>
    <w:rsid w:val="00190F40"/>
    <w:rsid w:val="00191ECE"/>
    <w:rsid w:val="00195F5E"/>
    <w:rsid w:val="001A2756"/>
    <w:rsid w:val="001A6A7E"/>
    <w:rsid w:val="001D2340"/>
    <w:rsid w:val="001F7A95"/>
    <w:rsid w:val="00220EAE"/>
    <w:rsid w:val="00240AF1"/>
    <w:rsid w:val="0024648C"/>
    <w:rsid w:val="002602F0"/>
    <w:rsid w:val="002C0936"/>
    <w:rsid w:val="00314846"/>
    <w:rsid w:val="00326F1B"/>
    <w:rsid w:val="00371EC5"/>
    <w:rsid w:val="00377F3B"/>
    <w:rsid w:val="00384215"/>
    <w:rsid w:val="003B52E6"/>
    <w:rsid w:val="003C4E60"/>
    <w:rsid w:val="004005B7"/>
    <w:rsid w:val="00400969"/>
    <w:rsid w:val="004035E6"/>
    <w:rsid w:val="00404ED7"/>
    <w:rsid w:val="00415F5F"/>
    <w:rsid w:val="0042038C"/>
    <w:rsid w:val="00461DCB"/>
    <w:rsid w:val="00467A40"/>
    <w:rsid w:val="00472B6D"/>
    <w:rsid w:val="00491A66"/>
    <w:rsid w:val="004B12C5"/>
    <w:rsid w:val="004B66C1"/>
    <w:rsid w:val="004C2516"/>
    <w:rsid w:val="004D64E0"/>
    <w:rsid w:val="004F01D9"/>
    <w:rsid w:val="004F754B"/>
    <w:rsid w:val="00525F00"/>
    <w:rsid w:val="005314CE"/>
    <w:rsid w:val="00532E88"/>
    <w:rsid w:val="005360D4"/>
    <w:rsid w:val="0054754E"/>
    <w:rsid w:val="0056338C"/>
    <w:rsid w:val="00574303"/>
    <w:rsid w:val="00584561"/>
    <w:rsid w:val="005D4280"/>
    <w:rsid w:val="005D5558"/>
    <w:rsid w:val="005F3806"/>
    <w:rsid w:val="005F422F"/>
    <w:rsid w:val="006062C8"/>
    <w:rsid w:val="00616028"/>
    <w:rsid w:val="006217E6"/>
    <w:rsid w:val="006328CC"/>
    <w:rsid w:val="0064024C"/>
    <w:rsid w:val="00660A25"/>
    <w:rsid w:val="00660F1E"/>
    <w:rsid w:val="006638AD"/>
    <w:rsid w:val="00671993"/>
    <w:rsid w:val="00673C98"/>
    <w:rsid w:val="00682713"/>
    <w:rsid w:val="00702379"/>
    <w:rsid w:val="00705B0F"/>
    <w:rsid w:val="0071180C"/>
    <w:rsid w:val="00717417"/>
    <w:rsid w:val="00722DE8"/>
    <w:rsid w:val="007324BD"/>
    <w:rsid w:val="00733AC6"/>
    <w:rsid w:val="0073444B"/>
    <w:rsid w:val="007344B3"/>
    <w:rsid w:val="007352E9"/>
    <w:rsid w:val="00751FE2"/>
    <w:rsid w:val="007543A4"/>
    <w:rsid w:val="007570B4"/>
    <w:rsid w:val="00770EEA"/>
    <w:rsid w:val="007C52BD"/>
    <w:rsid w:val="007E3D81"/>
    <w:rsid w:val="00816758"/>
    <w:rsid w:val="00823B94"/>
    <w:rsid w:val="00827264"/>
    <w:rsid w:val="008351D5"/>
    <w:rsid w:val="00850FE1"/>
    <w:rsid w:val="008658E6"/>
    <w:rsid w:val="00884CA6"/>
    <w:rsid w:val="00887861"/>
    <w:rsid w:val="008A7568"/>
    <w:rsid w:val="008E5593"/>
    <w:rsid w:val="008F58D3"/>
    <w:rsid w:val="00900794"/>
    <w:rsid w:val="009229AC"/>
    <w:rsid w:val="00932D09"/>
    <w:rsid w:val="009622B2"/>
    <w:rsid w:val="00967261"/>
    <w:rsid w:val="009A4735"/>
    <w:rsid w:val="009C7D71"/>
    <w:rsid w:val="009F58BB"/>
    <w:rsid w:val="00A150E4"/>
    <w:rsid w:val="00A2092A"/>
    <w:rsid w:val="00A27F18"/>
    <w:rsid w:val="00A41E64"/>
    <w:rsid w:val="00A4373B"/>
    <w:rsid w:val="00A457CC"/>
    <w:rsid w:val="00A83D5E"/>
    <w:rsid w:val="00AE1F72"/>
    <w:rsid w:val="00B04903"/>
    <w:rsid w:val="00B12708"/>
    <w:rsid w:val="00B41C69"/>
    <w:rsid w:val="00B92549"/>
    <w:rsid w:val="00B96D9F"/>
    <w:rsid w:val="00BA0AC4"/>
    <w:rsid w:val="00BA1F2D"/>
    <w:rsid w:val="00BB1BD4"/>
    <w:rsid w:val="00BB32D8"/>
    <w:rsid w:val="00BC0F25"/>
    <w:rsid w:val="00BE09D6"/>
    <w:rsid w:val="00BE7939"/>
    <w:rsid w:val="00C02BC6"/>
    <w:rsid w:val="00C10FF1"/>
    <w:rsid w:val="00C12E38"/>
    <w:rsid w:val="00C30E55"/>
    <w:rsid w:val="00C5090B"/>
    <w:rsid w:val="00C546FB"/>
    <w:rsid w:val="00C60AE5"/>
    <w:rsid w:val="00C63324"/>
    <w:rsid w:val="00C73832"/>
    <w:rsid w:val="00C81188"/>
    <w:rsid w:val="00C92FF3"/>
    <w:rsid w:val="00C945AA"/>
    <w:rsid w:val="00CB5E53"/>
    <w:rsid w:val="00CC6A22"/>
    <w:rsid w:val="00CC7CB7"/>
    <w:rsid w:val="00D02133"/>
    <w:rsid w:val="00D107AF"/>
    <w:rsid w:val="00D14AB7"/>
    <w:rsid w:val="00D21FCD"/>
    <w:rsid w:val="00D2790D"/>
    <w:rsid w:val="00D34CBE"/>
    <w:rsid w:val="00D461ED"/>
    <w:rsid w:val="00D53D61"/>
    <w:rsid w:val="00D62EB9"/>
    <w:rsid w:val="00D66A94"/>
    <w:rsid w:val="00D66AF5"/>
    <w:rsid w:val="00D729C7"/>
    <w:rsid w:val="00DA53EC"/>
    <w:rsid w:val="00DA5F94"/>
    <w:rsid w:val="00DC6437"/>
    <w:rsid w:val="00DC6639"/>
    <w:rsid w:val="00DD1B55"/>
    <w:rsid w:val="00DD2A14"/>
    <w:rsid w:val="00DD4202"/>
    <w:rsid w:val="00DE5EA4"/>
    <w:rsid w:val="00DF1BA0"/>
    <w:rsid w:val="00E016C8"/>
    <w:rsid w:val="00E11331"/>
    <w:rsid w:val="00E33A75"/>
    <w:rsid w:val="00E33DC8"/>
    <w:rsid w:val="00E34A9A"/>
    <w:rsid w:val="00E630EB"/>
    <w:rsid w:val="00E75AE6"/>
    <w:rsid w:val="00E80215"/>
    <w:rsid w:val="00E93A6D"/>
    <w:rsid w:val="00EA353A"/>
    <w:rsid w:val="00EB52A5"/>
    <w:rsid w:val="00EC655E"/>
    <w:rsid w:val="00ED3F45"/>
    <w:rsid w:val="00EE33CA"/>
    <w:rsid w:val="00F04B9B"/>
    <w:rsid w:val="00F0626A"/>
    <w:rsid w:val="00F149CC"/>
    <w:rsid w:val="00F242E0"/>
    <w:rsid w:val="00F36C24"/>
    <w:rsid w:val="00F46364"/>
    <w:rsid w:val="00F6228B"/>
    <w:rsid w:val="00F74AAD"/>
    <w:rsid w:val="00FF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1A99A"/>
  <w15:docId w15:val="{DC61FB0F-C7D5-48FA-9C5E-A011B4E1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5D75"/>
    <w:pPr>
      <w:ind w:left="720"/>
      <w:contextualSpacing/>
    </w:pPr>
  </w:style>
  <w:style w:type="paragraph" w:styleId="Header">
    <w:name w:val="header"/>
    <w:basedOn w:val="Normal"/>
    <w:link w:val="HeaderChar"/>
    <w:unhideWhenUsed/>
    <w:rsid w:val="00D107AF"/>
    <w:pPr>
      <w:tabs>
        <w:tab w:val="center" w:pos="4680"/>
        <w:tab w:val="right" w:pos="9360"/>
      </w:tabs>
    </w:pPr>
  </w:style>
  <w:style w:type="character" w:customStyle="1" w:styleId="HeaderChar">
    <w:name w:val="Header Char"/>
    <w:basedOn w:val="DefaultParagraphFont"/>
    <w:link w:val="Header"/>
    <w:rsid w:val="00D107AF"/>
    <w:rPr>
      <w:rFonts w:asciiTheme="minorHAnsi" w:hAnsiTheme="minorHAnsi"/>
      <w:sz w:val="16"/>
      <w:szCs w:val="24"/>
    </w:rPr>
  </w:style>
  <w:style w:type="paragraph" w:styleId="Footer">
    <w:name w:val="footer"/>
    <w:basedOn w:val="Normal"/>
    <w:link w:val="FooterChar"/>
    <w:uiPriority w:val="99"/>
    <w:unhideWhenUsed/>
    <w:rsid w:val="00D107AF"/>
    <w:pPr>
      <w:tabs>
        <w:tab w:val="center" w:pos="4680"/>
        <w:tab w:val="right" w:pos="9360"/>
      </w:tabs>
    </w:pPr>
  </w:style>
  <w:style w:type="character" w:customStyle="1" w:styleId="FooterChar">
    <w:name w:val="Footer Char"/>
    <w:basedOn w:val="DefaultParagraphFont"/>
    <w:link w:val="Footer"/>
    <w:uiPriority w:val="99"/>
    <w:rsid w:val="00D107AF"/>
    <w:rPr>
      <w:rFonts w:asciiTheme="minorHAnsi" w:hAnsiTheme="minorHAnsi"/>
      <w:sz w:val="16"/>
      <w:szCs w:val="24"/>
    </w:rPr>
  </w:style>
  <w:style w:type="character" w:styleId="Hyperlink">
    <w:name w:val="Hyperlink"/>
    <w:basedOn w:val="DefaultParagraphFont"/>
    <w:unhideWhenUsed/>
    <w:rsid w:val="00A2092A"/>
    <w:rPr>
      <w:color w:val="0000FF" w:themeColor="hyperlink"/>
      <w:u w:val="single"/>
    </w:rPr>
  </w:style>
  <w:style w:type="paragraph" w:customStyle="1" w:styleId="m5026298087943023822m8043212145780308836gmail-msolistparagraph">
    <w:name w:val="m_5026298087943023822m_8043212145780308836gmail-msolistparagraph"/>
    <w:basedOn w:val="Normal"/>
    <w:rsid w:val="005D5558"/>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7C52BD"/>
    <w:rPr>
      <w:sz w:val="16"/>
      <w:szCs w:val="16"/>
    </w:rPr>
  </w:style>
  <w:style w:type="paragraph" w:styleId="CommentText">
    <w:name w:val="annotation text"/>
    <w:basedOn w:val="Normal"/>
    <w:link w:val="CommentTextChar"/>
    <w:semiHidden/>
    <w:unhideWhenUsed/>
    <w:rsid w:val="007C52BD"/>
    <w:rPr>
      <w:sz w:val="20"/>
      <w:szCs w:val="20"/>
    </w:rPr>
  </w:style>
  <w:style w:type="character" w:customStyle="1" w:styleId="CommentTextChar">
    <w:name w:val="Comment Text Char"/>
    <w:basedOn w:val="DefaultParagraphFont"/>
    <w:link w:val="CommentText"/>
    <w:semiHidden/>
    <w:rsid w:val="007C52BD"/>
    <w:rPr>
      <w:rFonts w:asciiTheme="minorHAnsi" w:hAnsiTheme="minorHAnsi"/>
    </w:rPr>
  </w:style>
  <w:style w:type="paragraph" w:styleId="CommentSubject">
    <w:name w:val="annotation subject"/>
    <w:basedOn w:val="CommentText"/>
    <w:next w:val="CommentText"/>
    <w:link w:val="CommentSubjectChar"/>
    <w:semiHidden/>
    <w:unhideWhenUsed/>
    <w:rsid w:val="007C52BD"/>
    <w:rPr>
      <w:b/>
      <w:bCs/>
    </w:rPr>
  </w:style>
  <w:style w:type="character" w:customStyle="1" w:styleId="CommentSubjectChar">
    <w:name w:val="Comment Subject Char"/>
    <w:basedOn w:val="CommentTextChar"/>
    <w:link w:val="CommentSubject"/>
    <w:semiHidden/>
    <w:rsid w:val="007C52BD"/>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633">
      <w:bodyDiv w:val="1"/>
      <w:marLeft w:val="0"/>
      <w:marRight w:val="0"/>
      <w:marTop w:val="0"/>
      <w:marBottom w:val="0"/>
      <w:divBdr>
        <w:top w:val="none" w:sz="0" w:space="0" w:color="auto"/>
        <w:left w:val="none" w:sz="0" w:space="0" w:color="auto"/>
        <w:bottom w:val="none" w:sz="0" w:space="0" w:color="auto"/>
        <w:right w:val="none" w:sz="0" w:space="0" w:color="auto"/>
      </w:divBdr>
    </w:div>
    <w:div w:id="770391390">
      <w:bodyDiv w:val="1"/>
      <w:marLeft w:val="0"/>
      <w:marRight w:val="0"/>
      <w:marTop w:val="0"/>
      <w:marBottom w:val="0"/>
      <w:divBdr>
        <w:top w:val="none" w:sz="0" w:space="0" w:color="auto"/>
        <w:left w:val="none" w:sz="0" w:space="0" w:color="auto"/>
        <w:bottom w:val="none" w:sz="0" w:space="0" w:color="auto"/>
        <w:right w:val="none" w:sz="0" w:space="0" w:color="auto"/>
      </w:divBdr>
      <w:divsChild>
        <w:div w:id="1313024249">
          <w:marLeft w:val="0"/>
          <w:marRight w:val="0"/>
          <w:marTop w:val="0"/>
          <w:marBottom w:val="0"/>
          <w:divBdr>
            <w:top w:val="none" w:sz="0" w:space="0" w:color="auto"/>
            <w:left w:val="none" w:sz="0" w:space="0" w:color="auto"/>
            <w:bottom w:val="none" w:sz="0" w:space="0" w:color="auto"/>
            <w:right w:val="none" w:sz="0" w:space="0" w:color="auto"/>
          </w:divBdr>
          <w:divsChild>
            <w:div w:id="1403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048">
      <w:bodyDiv w:val="1"/>
      <w:marLeft w:val="0"/>
      <w:marRight w:val="0"/>
      <w:marTop w:val="0"/>
      <w:marBottom w:val="0"/>
      <w:divBdr>
        <w:top w:val="none" w:sz="0" w:space="0" w:color="auto"/>
        <w:left w:val="none" w:sz="0" w:space="0" w:color="auto"/>
        <w:bottom w:val="none" w:sz="0" w:space="0" w:color="auto"/>
        <w:right w:val="none" w:sz="0" w:space="0" w:color="auto"/>
      </w:divBdr>
    </w:div>
    <w:div w:id="16204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neonradio.org/" TargetMode="External"/><Relationship Id="rId5" Type="http://schemas.openxmlformats.org/officeDocument/2006/relationships/webSettings" Target="webSettings.xml"/><Relationship Id="rId10" Type="http://schemas.openxmlformats.org/officeDocument/2006/relationships/hyperlink" Target="https://brenebrown.com/videos/ted-talk-the-power-of-vulnerability/" TargetMode="External"/><Relationship Id="rId4" Type="http://schemas.openxmlformats.org/officeDocument/2006/relationships/settings" Target="settings.xml"/><Relationship Id="rId9" Type="http://schemas.openxmlformats.org/officeDocument/2006/relationships/hyperlink" Target="mailto:fdc@umb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har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Kerrie Kephart</dc:creator>
  <cp:keywords/>
  <cp:lastModifiedBy>Sarah Swatski</cp:lastModifiedBy>
  <cp:revision>3</cp:revision>
  <cp:lastPrinted>2019-04-25T20:49:00Z</cp:lastPrinted>
  <dcterms:created xsi:type="dcterms:W3CDTF">2019-04-26T13:23:00Z</dcterms:created>
  <dcterms:modified xsi:type="dcterms:W3CDTF">2019-05-10T14:25:00Z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